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仿宋_GB2312" w:hAnsi="Arial" w:eastAsia="仿宋_GB2312"/>
          <w:b/>
          <w:color w:val="000000"/>
          <w:sz w:val="40"/>
          <w:szCs w:val="40"/>
        </w:rPr>
      </w:pPr>
      <w:r>
        <w:rPr>
          <w:rFonts w:hint="eastAsia" w:ascii="仿宋_GB2312" w:hAnsi="Arial" w:eastAsia="仿宋_GB2312"/>
          <w:b/>
          <w:color w:val="000000"/>
          <w:sz w:val="40"/>
          <w:szCs w:val="40"/>
        </w:rPr>
        <w:t>目录</w:t>
      </w:r>
    </w:p>
    <w:p>
      <w:pPr>
        <w:spacing w:line="480" w:lineRule="auto"/>
        <w:rPr>
          <w:rFonts w:ascii="仿宋_GB2312" w:hAnsi="Arial" w:eastAsia="仿宋_GB2312"/>
          <w:b/>
          <w:color w:val="000000"/>
          <w:sz w:val="24"/>
          <w:szCs w:val="24"/>
        </w:rPr>
      </w:pPr>
    </w:p>
    <w:p>
      <w:pPr>
        <w:pStyle w:val="27"/>
        <w:tabs>
          <w:tab w:val="right" w:leader="dot" w:pos="8192"/>
        </w:tabs>
        <w:rPr>
          <w:rFonts w:ascii="宋体" w:hAnsi="宋体" w:cs="宋体"/>
          <w:b w:val="0"/>
          <w:bCs w:val="0"/>
        </w:rPr>
      </w:pPr>
      <w:r>
        <w:rPr>
          <w:rFonts w:hint="eastAsia" w:ascii="宋体" w:hAnsi="宋体" w:cs="宋体"/>
          <w:color w:val="000000"/>
          <w:sz w:val="28"/>
          <w:szCs w:val="28"/>
        </w:rPr>
        <w:fldChar w:fldCharType="begin"/>
      </w:r>
      <w:r>
        <w:rPr>
          <w:rFonts w:hint="eastAsia" w:ascii="宋体" w:hAnsi="宋体" w:cs="宋体"/>
          <w:color w:val="000000"/>
          <w:sz w:val="28"/>
          <w:szCs w:val="28"/>
        </w:rPr>
        <w:instrText xml:space="preserve">TOC \o "1-3" \h \u </w:instrText>
      </w:r>
      <w:r>
        <w:rPr>
          <w:rFonts w:hint="eastAsia" w:ascii="宋体" w:hAnsi="宋体" w:cs="宋体"/>
          <w:color w:val="000000"/>
          <w:sz w:val="28"/>
          <w:szCs w:val="28"/>
        </w:rPr>
        <w:fldChar w:fldCharType="separate"/>
      </w:r>
      <w:r>
        <w:fldChar w:fldCharType="begin"/>
      </w:r>
      <w:r>
        <w:instrText xml:space="preserve"> HYPERLINK \l "_Toc9821" </w:instrText>
      </w:r>
      <w:r>
        <w:fldChar w:fldCharType="separate"/>
      </w:r>
      <w:r>
        <w:rPr>
          <w:rFonts w:hint="eastAsia" w:ascii="宋体" w:hAnsi="宋体" w:cs="宋体"/>
          <w:b w:val="0"/>
          <w:bCs w:val="0"/>
          <w:szCs w:val="44"/>
        </w:rPr>
        <w:t>第一部分招标文件</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_Toc9821 </w:instrText>
      </w:r>
      <w:r>
        <w:rPr>
          <w:rFonts w:hint="eastAsia" w:ascii="宋体" w:hAnsi="宋体" w:cs="宋体"/>
          <w:b w:val="0"/>
          <w:bCs w:val="0"/>
        </w:rPr>
        <w:fldChar w:fldCharType="separate"/>
      </w:r>
      <w:r>
        <w:rPr>
          <w:rFonts w:hint="eastAsia" w:ascii="宋体" w:hAnsi="宋体" w:cs="宋体"/>
          <w:b w:val="0"/>
          <w:bCs w:val="0"/>
        </w:rPr>
        <w:t>2</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"_Toc2204" </w:instrText>
      </w:r>
      <w:r>
        <w:fldChar w:fldCharType="separate"/>
      </w:r>
      <w:r>
        <w:rPr>
          <w:rFonts w:hint="eastAsia" w:ascii="宋体" w:hAnsi="宋体" w:cs="宋体"/>
          <w:b w:val="0"/>
          <w:bCs w:val="0"/>
          <w:kern w:val="36"/>
          <w:szCs w:val="32"/>
        </w:rPr>
        <w:t>一、公开招标公告</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_Toc2204 </w:instrText>
      </w:r>
      <w:r>
        <w:rPr>
          <w:rFonts w:hint="eastAsia" w:ascii="宋体" w:hAnsi="宋体" w:cs="宋体"/>
          <w:b w:val="0"/>
          <w:bCs w:val="0"/>
        </w:rPr>
        <w:fldChar w:fldCharType="separate"/>
      </w:r>
      <w:r>
        <w:rPr>
          <w:rFonts w:hint="eastAsia" w:ascii="宋体" w:hAnsi="宋体" w:cs="宋体"/>
          <w:b w:val="0"/>
          <w:bCs w:val="0"/>
        </w:rPr>
        <w:t>2</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"_Toc16997" </w:instrText>
      </w:r>
      <w:r>
        <w:fldChar w:fldCharType="separate"/>
      </w:r>
      <w:r>
        <w:rPr>
          <w:rFonts w:hint="eastAsia" w:ascii="宋体" w:hAnsi="宋体" w:cs="宋体"/>
          <w:b w:val="0"/>
          <w:bCs w:val="0"/>
        </w:rPr>
        <w:t>二、投标人须知前附表</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_Toc16997 </w:instrText>
      </w:r>
      <w:r>
        <w:rPr>
          <w:rFonts w:hint="eastAsia" w:ascii="宋体" w:hAnsi="宋体" w:cs="宋体"/>
          <w:b w:val="0"/>
          <w:bCs w:val="0"/>
        </w:rPr>
        <w:fldChar w:fldCharType="separate"/>
      </w:r>
      <w:r>
        <w:rPr>
          <w:rFonts w:hint="eastAsia" w:ascii="宋体" w:hAnsi="宋体" w:cs="宋体"/>
          <w:b w:val="0"/>
          <w:bCs w:val="0"/>
        </w:rPr>
        <w:t>5</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"_Toc23659" </w:instrText>
      </w:r>
      <w:r>
        <w:fldChar w:fldCharType="separate"/>
      </w:r>
      <w:r>
        <w:rPr>
          <w:rFonts w:hint="eastAsia" w:ascii="宋体" w:hAnsi="宋体" w:cs="宋体"/>
          <w:b w:val="0"/>
          <w:bCs w:val="0"/>
          <w:szCs w:val="32"/>
        </w:rPr>
        <w:t>三、投标人须知</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_Toc23659 </w:instrText>
      </w:r>
      <w:r>
        <w:rPr>
          <w:rFonts w:hint="eastAsia" w:ascii="宋体" w:hAnsi="宋体" w:cs="宋体"/>
          <w:b w:val="0"/>
          <w:bCs w:val="0"/>
        </w:rPr>
        <w:fldChar w:fldCharType="separate"/>
      </w:r>
      <w:r>
        <w:rPr>
          <w:rFonts w:hint="eastAsia" w:ascii="宋体" w:hAnsi="宋体" w:cs="宋体"/>
          <w:b w:val="0"/>
          <w:bCs w:val="0"/>
        </w:rPr>
        <w:t>5</w:t>
      </w:r>
      <w:r>
        <w:rPr>
          <w:rFonts w:hint="eastAsia" w:ascii="宋体" w:hAnsi="宋体" w:cs="宋体"/>
          <w:b w:val="0"/>
          <w:bCs w:val="0"/>
        </w:rPr>
        <w:fldChar w:fldCharType="end"/>
      </w:r>
      <w:r>
        <w:rPr>
          <w:rFonts w:hint="eastAsia" w:ascii="宋体" w:hAnsi="宋体" w:cs="宋体"/>
          <w:b w:val="0"/>
          <w:bCs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"_Toc15721" </w:instrText>
      </w:r>
      <w:r>
        <w:fldChar w:fldCharType="separate"/>
      </w:r>
      <w:r>
        <w:rPr>
          <w:rFonts w:hint="eastAsia" w:ascii="宋体" w:hAnsi="宋体" w:eastAsia="宋体" w:cs="宋体"/>
          <w:b w:val="0"/>
          <w:szCs w:val="24"/>
        </w:rPr>
        <w:t>（一）总  则</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_Toc15721 </w:instrText>
      </w:r>
      <w:r>
        <w:rPr>
          <w:rFonts w:hint="eastAsia" w:ascii="宋体" w:hAnsi="宋体" w:eastAsia="宋体" w:cs="宋体"/>
          <w:b w:val="0"/>
        </w:rPr>
        <w:fldChar w:fldCharType="separate"/>
      </w:r>
      <w:r>
        <w:rPr>
          <w:rFonts w:hint="eastAsia" w:ascii="宋体" w:hAnsi="宋体" w:eastAsia="宋体" w:cs="宋体"/>
          <w:b w:val="0"/>
        </w:rPr>
        <w:t>5</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"_Toc15787" </w:instrText>
      </w:r>
      <w:r>
        <w:fldChar w:fldCharType="separate"/>
      </w:r>
      <w:r>
        <w:rPr>
          <w:rFonts w:hint="eastAsia" w:ascii="宋体" w:hAnsi="宋体" w:eastAsia="宋体" w:cs="宋体"/>
          <w:b w:val="0"/>
          <w:szCs w:val="24"/>
        </w:rPr>
        <w:t>(二)招标文件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_Toc15787 </w:instrText>
      </w:r>
      <w:r>
        <w:rPr>
          <w:rFonts w:hint="eastAsia" w:ascii="宋体" w:hAnsi="宋体" w:eastAsia="宋体" w:cs="宋体"/>
          <w:b w:val="0"/>
        </w:rPr>
        <w:fldChar w:fldCharType="separate"/>
      </w:r>
      <w:r>
        <w:rPr>
          <w:rFonts w:hint="eastAsia" w:ascii="宋体" w:hAnsi="宋体" w:eastAsia="宋体" w:cs="宋体"/>
          <w:b w:val="0"/>
        </w:rPr>
        <w:t>6</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"_Toc481" </w:instrText>
      </w:r>
      <w:r>
        <w:fldChar w:fldCharType="separate"/>
      </w:r>
      <w:r>
        <w:rPr>
          <w:rFonts w:hint="eastAsia" w:ascii="宋体" w:hAnsi="宋体" w:eastAsia="宋体" w:cs="宋体"/>
          <w:b w:val="0"/>
          <w:szCs w:val="24"/>
        </w:rPr>
        <w:t>（三）投标文件的编制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_Toc481 </w:instrText>
      </w:r>
      <w:r>
        <w:rPr>
          <w:rFonts w:hint="eastAsia" w:ascii="宋体" w:hAnsi="宋体" w:eastAsia="宋体" w:cs="宋体"/>
          <w:b w:val="0"/>
        </w:rPr>
        <w:fldChar w:fldCharType="separate"/>
      </w:r>
      <w:r>
        <w:rPr>
          <w:rFonts w:hint="eastAsia" w:ascii="宋体" w:hAnsi="宋体" w:eastAsia="宋体" w:cs="宋体"/>
          <w:b w:val="0"/>
        </w:rPr>
        <w:t>7</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"_Toc6716" </w:instrText>
      </w:r>
      <w:r>
        <w:fldChar w:fldCharType="separate"/>
      </w:r>
      <w:r>
        <w:rPr>
          <w:rFonts w:hint="eastAsia" w:ascii="宋体" w:hAnsi="宋体" w:eastAsia="宋体" w:cs="宋体"/>
          <w:b w:val="0"/>
          <w:szCs w:val="24"/>
        </w:rPr>
        <w:t>（四）投标文件的递交</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_Toc6716 </w:instrText>
      </w:r>
      <w:r>
        <w:rPr>
          <w:rFonts w:hint="eastAsia" w:ascii="宋体" w:hAnsi="宋体" w:eastAsia="宋体" w:cs="宋体"/>
          <w:b w:val="0"/>
        </w:rPr>
        <w:fldChar w:fldCharType="separate"/>
      </w:r>
      <w:r>
        <w:rPr>
          <w:rFonts w:hint="eastAsia" w:ascii="宋体" w:hAnsi="宋体" w:eastAsia="宋体" w:cs="宋体"/>
          <w:b w:val="0"/>
        </w:rPr>
        <w:t>10</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"_Toc18026" </w:instrText>
      </w:r>
      <w:r>
        <w:fldChar w:fldCharType="separate"/>
      </w:r>
      <w:r>
        <w:rPr>
          <w:rFonts w:hint="eastAsia" w:ascii="宋体" w:hAnsi="宋体" w:eastAsia="宋体" w:cs="宋体"/>
          <w:b w:val="0"/>
          <w:szCs w:val="24"/>
        </w:rPr>
        <w:t>（五）开标与评标</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_Toc18026 </w:instrText>
      </w:r>
      <w:r>
        <w:rPr>
          <w:rFonts w:hint="eastAsia" w:ascii="宋体" w:hAnsi="宋体" w:eastAsia="宋体" w:cs="宋体"/>
          <w:b w:val="0"/>
        </w:rPr>
        <w:fldChar w:fldCharType="separate"/>
      </w:r>
      <w:r>
        <w:rPr>
          <w:rFonts w:hint="eastAsia" w:ascii="宋体" w:hAnsi="宋体" w:eastAsia="宋体" w:cs="宋体"/>
          <w:b w:val="0"/>
        </w:rPr>
        <w:t>11</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840" w:firstLineChars="279"/>
        <w:rPr>
          <w:rFonts w:ascii="宋体" w:hAnsi="宋体" w:eastAsia="宋体" w:cs="宋体"/>
          <w:b w:val="0"/>
        </w:rPr>
      </w:pPr>
      <w:r>
        <w:fldChar w:fldCharType="begin"/>
      </w:r>
      <w:r>
        <w:instrText xml:space="preserve"> HYPERLINK \l "_Toc13717" </w:instrText>
      </w:r>
      <w:r>
        <w:fldChar w:fldCharType="separate"/>
      </w:r>
      <w:r>
        <w:rPr>
          <w:rFonts w:hint="eastAsia" w:ascii="宋体" w:hAnsi="宋体" w:eastAsia="宋体" w:cs="宋体"/>
          <w:b w:val="0"/>
          <w:szCs w:val="24"/>
        </w:rPr>
        <w:t>（六）授予合同</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_Toc13717 </w:instrText>
      </w:r>
      <w:r>
        <w:rPr>
          <w:rFonts w:hint="eastAsia" w:ascii="宋体" w:hAnsi="宋体" w:eastAsia="宋体" w:cs="宋体"/>
          <w:b w:val="0"/>
        </w:rPr>
        <w:fldChar w:fldCharType="separate"/>
      </w:r>
      <w:r>
        <w:rPr>
          <w:rFonts w:hint="eastAsia" w:ascii="宋体" w:hAnsi="宋体" w:eastAsia="宋体" w:cs="宋体"/>
          <w:b w:val="0"/>
        </w:rPr>
        <w:t>14</w:t>
      </w:r>
      <w:r>
        <w:rPr>
          <w:rFonts w:hint="eastAsia" w:ascii="宋体" w:hAnsi="宋体" w:eastAsia="宋体" w:cs="宋体"/>
          <w:b w:val="0"/>
        </w:rPr>
        <w:fldChar w:fldCharType="end"/>
      </w:r>
      <w:r>
        <w:rPr>
          <w:rFonts w:hint="eastAsia" w:ascii="宋体" w:hAnsi="宋体" w:eastAsia="宋体" w:cs="宋体"/>
          <w:b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"_Toc21155" </w:instrText>
      </w:r>
      <w:r>
        <w:fldChar w:fldCharType="separate"/>
      </w:r>
      <w:r>
        <w:rPr>
          <w:rFonts w:hint="eastAsia" w:ascii="宋体" w:hAnsi="宋体" w:cs="宋体"/>
          <w:b w:val="0"/>
          <w:bCs w:val="0"/>
          <w:szCs w:val="40"/>
        </w:rPr>
        <w:t>四、项目需求</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_Toc21155 </w:instrText>
      </w:r>
      <w:r>
        <w:rPr>
          <w:rFonts w:hint="eastAsia" w:ascii="宋体" w:hAnsi="宋体" w:cs="宋体"/>
          <w:b w:val="0"/>
          <w:bCs w:val="0"/>
        </w:rPr>
        <w:fldChar w:fldCharType="separate"/>
      </w:r>
      <w:r>
        <w:rPr>
          <w:rFonts w:hint="eastAsia" w:ascii="宋体" w:hAnsi="宋体" w:cs="宋体"/>
          <w:b w:val="0"/>
          <w:bCs w:val="0"/>
        </w:rPr>
        <w:t>17</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ind w:firstLine="321" w:firstLineChars="100"/>
        <w:rPr>
          <w:rFonts w:ascii="宋体" w:hAnsi="宋体" w:cs="宋体"/>
          <w:b w:val="0"/>
          <w:bCs w:val="0"/>
        </w:rPr>
      </w:pPr>
      <w:r>
        <w:fldChar w:fldCharType="begin"/>
      </w:r>
      <w:r>
        <w:instrText xml:space="preserve"> HYPERLINK \l "_Toc10940" </w:instrText>
      </w:r>
      <w:r>
        <w:fldChar w:fldCharType="separate"/>
      </w:r>
      <w:r>
        <w:rPr>
          <w:rFonts w:hint="eastAsia" w:ascii="宋体" w:hAnsi="宋体" w:cs="宋体"/>
          <w:b w:val="0"/>
          <w:bCs w:val="0"/>
          <w:kern w:val="0"/>
          <w:szCs w:val="36"/>
        </w:rPr>
        <w:t>五、评分标准</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_Toc10940 </w:instrText>
      </w:r>
      <w:r>
        <w:rPr>
          <w:rFonts w:hint="eastAsia" w:ascii="宋体" w:hAnsi="宋体" w:cs="宋体"/>
          <w:b w:val="0"/>
          <w:bCs w:val="0"/>
        </w:rPr>
        <w:fldChar w:fldCharType="separate"/>
      </w:r>
      <w:r>
        <w:rPr>
          <w:rFonts w:hint="eastAsia" w:ascii="宋体" w:hAnsi="宋体" w:cs="宋体"/>
          <w:b w:val="0"/>
          <w:bCs w:val="0"/>
        </w:rPr>
        <w:t>25</w:t>
      </w:r>
      <w:r>
        <w:rPr>
          <w:rFonts w:hint="eastAsia" w:ascii="宋体" w:hAnsi="宋体" w:cs="宋体"/>
          <w:b w:val="0"/>
          <w:bCs w:val="0"/>
        </w:rPr>
        <w:fldChar w:fldCharType="end"/>
      </w:r>
      <w:r>
        <w:rPr>
          <w:rFonts w:hint="eastAsia" w:ascii="宋体" w:hAnsi="宋体" w:cs="宋体"/>
          <w:b w:val="0"/>
          <w:bCs w:val="0"/>
        </w:rPr>
        <w:fldChar w:fldCharType="end"/>
      </w:r>
    </w:p>
    <w:p>
      <w:pPr>
        <w:pStyle w:val="27"/>
        <w:tabs>
          <w:tab w:val="right" w:leader="dot" w:pos="8192"/>
        </w:tabs>
        <w:rPr>
          <w:rFonts w:ascii="宋体" w:hAnsi="宋体" w:cs="宋体"/>
          <w:b w:val="0"/>
          <w:bCs w:val="0"/>
        </w:rPr>
      </w:pPr>
      <w:r>
        <w:fldChar w:fldCharType="begin"/>
      </w:r>
      <w:r>
        <w:instrText xml:space="preserve"> HYPERLINK \l "_Toc2007" </w:instrText>
      </w:r>
      <w:r>
        <w:fldChar w:fldCharType="separate"/>
      </w:r>
      <w:r>
        <w:rPr>
          <w:rFonts w:hint="eastAsia" w:ascii="宋体" w:hAnsi="宋体" w:cs="宋体"/>
          <w:b w:val="0"/>
          <w:bCs w:val="0"/>
          <w:szCs w:val="28"/>
        </w:rPr>
        <w:t>第二部分投标文件</w:t>
      </w:r>
      <w:r>
        <w:rPr>
          <w:rFonts w:hint="eastAsia" w:ascii="宋体" w:hAnsi="宋体" w:cs="宋体"/>
          <w:b w:val="0"/>
          <w:bCs w:val="0"/>
        </w:rPr>
        <w:tab/>
      </w:r>
      <w:r>
        <w:rPr>
          <w:rFonts w:hint="eastAsia" w:ascii="宋体" w:hAnsi="宋体" w:cs="宋体"/>
          <w:b w:val="0"/>
          <w:bCs w:val="0"/>
        </w:rPr>
        <w:fldChar w:fldCharType="begin"/>
      </w:r>
      <w:r>
        <w:rPr>
          <w:rFonts w:hint="eastAsia" w:ascii="宋体" w:hAnsi="宋体" w:cs="宋体"/>
          <w:b w:val="0"/>
          <w:bCs w:val="0"/>
        </w:rPr>
        <w:instrText xml:space="preserve"> PAGEREF _Toc2007 </w:instrText>
      </w:r>
      <w:r>
        <w:rPr>
          <w:rFonts w:hint="eastAsia" w:ascii="宋体" w:hAnsi="宋体" w:cs="宋体"/>
          <w:b w:val="0"/>
          <w:bCs w:val="0"/>
        </w:rPr>
        <w:fldChar w:fldCharType="separate"/>
      </w:r>
      <w:r>
        <w:rPr>
          <w:rFonts w:hint="eastAsia" w:ascii="宋体" w:hAnsi="宋体" w:cs="宋体"/>
          <w:b w:val="0"/>
          <w:bCs w:val="0"/>
        </w:rPr>
        <w:t>28</w:t>
      </w:r>
      <w:r>
        <w:rPr>
          <w:rFonts w:hint="eastAsia" w:ascii="宋体" w:hAnsi="宋体" w:cs="宋体"/>
          <w:b w:val="0"/>
          <w:bCs w:val="0"/>
        </w:rPr>
        <w:fldChar w:fldCharType="end"/>
      </w:r>
      <w:r>
        <w:rPr>
          <w:rFonts w:hint="eastAsia" w:ascii="宋体" w:hAnsi="宋体" w:cs="宋体"/>
          <w:b w:val="0"/>
          <w:bCs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"_Toc9920" </w:instrText>
      </w:r>
      <w:r>
        <w:fldChar w:fldCharType="separate"/>
      </w:r>
      <w:r>
        <w:rPr>
          <w:rFonts w:hint="eastAsia" w:ascii="宋体" w:hAnsi="宋体" w:eastAsia="宋体" w:cs="宋体"/>
          <w:b w:val="0"/>
          <w:szCs w:val="44"/>
        </w:rPr>
        <w:t>投   标   文   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_Toc9920 </w:instrText>
      </w:r>
      <w:r>
        <w:rPr>
          <w:rFonts w:hint="eastAsia" w:ascii="宋体" w:hAnsi="宋体" w:eastAsia="宋体" w:cs="宋体"/>
          <w:b w:val="0"/>
        </w:rPr>
        <w:fldChar w:fldCharType="separate"/>
      </w:r>
      <w:r>
        <w:rPr>
          <w:rFonts w:hint="eastAsia" w:ascii="宋体" w:hAnsi="宋体" w:eastAsia="宋体" w:cs="宋体"/>
          <w:b w:val="0"/>
        </w:rPr>
        <w:t>28</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rPr>
          <w:rFonts w:hint="eastAsia"/>
        </w:rPr>
      </w:pPr>
      <w:r>
        <w:fldChar w:fldCharType="begin"/>
      </w:r>
      <w:r>
        <w:instrText xml:space="preserve"> HYPERLINK \l "_Toc13316" </w:instrText>
      </w:r>
      <w:r>
        <w:fldChar w:fldCharType="separate"/>
      </w:r>
      <w:r>
        <w:rPr>
          <w:rFonts w:hint="eastAsia" w:ascii="宋体" w:hAnsi="宋体" w:eastAsia="宋体" w:cs="宋体"/>
          <w:b w:val="0"/>
          <w:szCs w:val="24"/>
        </w:rPr>
        <w:t>一、投标函（格式）</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_Toc13316 </w:instrText>
      </w:r>
      <w:r>
        <w:rPr>
          <w:rFonts w:hint="eastAsia" w:ascii="宋体" w:hAnsi="宋体" w:eastAsia="宋体" w:cs="宋体"/>
          <w:b w:val="0"/>
        </w:rPr>
        <w:fldChar w:fldCharType="separate"/>
      </w:r>
      <w:r>
        <w:rPr>
          <w:rFonts w:hint="eastAsia" w:ascii="宋体" w:hAnsi="宋体" w:eastAsia="宋体" w:cs="宋体"/>
          <w:b w:val="0"/>
        </w:rPr>
        <w:t>29</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pPr>
      <w:r>
        <w:fldChar w:fldCharType="begin"/>
      </w:r>
      <w:r>
        <w:instrText xml:space="preserve"> HYPERLINK \l "_Toc13092" </w:instrText>
      </w:r>
      <w:r>
        <w:fldChar w:fldCharType="separate"/>
      </w:r>
      <w:r>
        <w:rPr>
          <w:rFonts w:hint="eastAsia" w:ascii="宋体" w:hAnsi="宋体" w:eastAsia="宋体" w:cs="宋体"/>
          <w:b w:val="0"/>
          <w:szCs w:val="24"/>
        </w:rPr>
        <w:t>二、投标报价明细表</w:t>
      </w:r>
      <w:r>
        <w:rPr>
          <w:rFonts w:hint="eastAsia" w:ascii="宋体" w:hAnsi="宋体" w:eastAsia="宋体" w:cs="宋体"/>
          <w:b w:val="0"/>
        </w:rPr>
        <w:tab/>
      </w:r>
      <w:r>
        <w:rPr>
          <w:rFonts w:hint="eastAsia" w:ascii="宋体" w:hAnsi="宋体" w:eastAsia="宋体" w:cs="宋体"/>
          <w:b w:val="0"/>
        </w:rPr>
        <w:t>29</w:t>
      </w:r>
      <w:r>
        <w:rPr>
          <w:rFonts w:hint="eastAsia" w:ascii="宋体" w:hAnsi="宋体" w:eastAsia="宋体" w:cs="宋体"/>
          <w:b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"_Toc26671" </w:instrText>
      </w:r>
      <w:r>
        <w:fldChar w:fldCharType="separate"/>
      </w:r>
      <w:r>
        <w:rPr>
          <w:rFonts w:hint="eastAsia" w:ascii="宋体" w:hAnsi="宋体" w:eastAsia="宋体" w:cs="宋体"/>
          <w:b w:val="0"/>
          <w:szCs w:val="24"/>
        </w:rPr>
        <w:t>三、投标人基本情况表</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_Toc26671 </w:instrText>
      </w:r>
      <w:r>
        <w:rPr>
          <w:rFonts w:hint="eastAsia" w:ascii="宋体" w:hAnsi="宋体" w:eastAsia="宋体" w:cs="宋体"/>
          <w:b w:val="0"/>
        </w:rPr>
        <w:fldChar w:fldCharType="separate"/>
      </w:r>
      <w:r>
        <w:rPr>
          <w:rFonts w:hint="eastAsia" w:ascii="宋体" w:hAnsi="宋体" w:eastAsia="宋体" w:cs="宋体"/>
          <w:b w:val="0"/>
        </w:rPr>
        <w:t>30</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rPr>
          <w:rFonts w:ascii="宋体" w:hAnsi="宋体" w:eastAsia="宋体" w:cs="宋体"/>
          <w:b w:val="0"/>
        </w:rPr>
      </w:pPr>
      <w:r>
        <w:fldChar w:fldCharType="begin"/>
      </w:r>
      <w:r>
        <w:instrText xml:space="preserve"> HYPERLINK \l "_Toc10747" </w:instrText>
      </w:r>
      <w:r>
        <w:fldChar w:fldCharType="separate"/>
      </w:r>
      <w:r>
        <w:rPr>
          <w:rFonts w:hint="eastAsia" w:ascii="宋体" w:hAnsi="宋体" w:eastAsia="宋体" w:cs="宋体"/>
          <w:b w:val="0"/>
          <w:szCs w:val="24"/>
        </w:rPr>
        <w:t>四、服务方案及承诺</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_Toc10747 </w:instrText>
      </w:r>
      <w:r>
        <w:rPr>
          <w:rFonts w:hint="eastAsia" w:ascii="宋体" w:hAnsi="宋体" w:eastAsia="宋体" w:cs="宋体"/>
          <w:b w:val="0"/>
        </w:rPr>
        <w:fldChar w:fldCharType="separate"/>
      </w:r>
      <w:r>
        <w:rPr>
          <w:rFonts w:hint="eastAsia" w:ascii="宋体" w:hAnsi="宋体" w:eastAsia="宋体" w:cs="宋体"/>
          <w:b w:val="0"/>
        </w:rPr>
        <w:t>31</w:t>
      </w:r>
      <w:r>
        <w:rPr>
          <w:rFonts w:hint="eastAsia" w:ascii="宋体" w:hAnsi="宋体" w:eastAsia="宋体" w:cs="宋体"/>
          <w:b w:val="0"/>
        </w:rPr>
        <w:fldChar w:fldCharType="end"/>
      </w:r>
      <w:r>
        <w:rPr>
          <w:rFonts w:hint="eastAsia" w:ascii="宋体" w:hAnsi="宋体" w:eastAsia="宋体" w:cs="宋体"/>
          <w:b w:val="0"/>
        </w:rPr>
        <w:fldChar w:fldCharType="end"/>
      </w:r>
    </w:p>
    <w:p>
      <w:pPr>
        <w:pStyle w:val="32"/>
        <w:tabs>
          <w:tab w:val="right" w:leader="dot" w:pos="8192"/>
        </w:tabs>
        <w:ind w:firstLine="542"/>
      </w:pPr>
      <w:r>
        <w:fldChar w:fldCharType="begin"/>
      </w:r>
      <w:r>
        <w:instrText xml:space="preserve"> HYPERLINK \l "_Toc13092" </w:instrText>
      </w:r>
      <w:r>
        <w:fldChar w:fldCharType="separate"/>
      </w:r>
      <w:r>
        <w:rPr>
          <w:rFonts w:hint="eastAsia" w:ascii="宋体" w:hAnsi="宋体" w:eastAsia="宋体" w:cs="宋体"/>
          <w:b w:val="0"/>
          <w:szCs w:val="24"/>
        </w:rPr>
        <w:t>五、资格证明文件</w:t>
      </w:r>
      <w:r>
        <w:rPr>
          <w:rFonts w:hint="eastAsia" w:ascii="宋体" w:hAnsi="宋体" w:eastAsia="宋体" w:cs="宋体"/>
          <w:b w:val="0"/>
        </w:rPr>
        <w:tab/>
      </w:r>
      <w:r>
        <w:rPr>
          <w:rFonts w:hint="eastAsia" w:ascii="宋体" w:hAnsi="宋体" w:eastAsia="宋体" w:cs="宋体"/>
          <w:b w:val="0"/>
        </w:rPr>
        <w:fldChar w:fldCharType="begin"/>
      </w:r>
      <w:r>
        <w:rPr>
          <w:rFonts w:hint="eastAsia" w:ascii="宋体" w:hAnsi="宋体" w:eastAsia="宋体" w:cs="宋体"/>
          <w:b w:val="0"/>
        </w:rPr>
        <w:instrText xml:space="preserve"> PAGEREF _Toc13092 </w:instrText>
      </w:r>
      <w:r>
        <w:rPr>
          <w:rFonts w:hint="eastAsia" w:ascii="宋体" w:hAnsi="宋体" w:eastAsia="宋体" w:cs="宋体"/>
          <w:b w:val="0"/>
        </w:rPr>
        <w:fldChar w:fldCharType="separate"/>
      </w:r>
      <w:r>
        <w:rPr>
          <w:rFonts w:hint="eastAsia" w:ascii="宋体" w:hAnsi="宋体" w:eastAsia="宋体" w:cs="宋体"/>
          <w:b w:val="0"/>
        </w:rPr>
        <w:t>31</w:t>
      </w:r>
      <w:r>
        <w:rPr>
          <w:rFonts w:hint="eastAsia" w:ascii="宋体" w:hAnsi="宋体" w:eastAsia="宋体" w:cs="宋体"/>
          <w:b w:val="0"/>
        </w:rPr>
        <w:fldChar w:fldCharType="end"/>
      </w:r>
      <w:r>
        <w:rPr>
          <w:rFonts w:hint="eastAsia" w:ascii="宋体" w:hAnsi="宋体" w:eastAsia="宋体" w:cs="宋体"/>
          <w:b w:val="0"/>
        </w:rPr>
        <w:fldChar w:fldCharType="end"/>
      </w:r>
    </w:p>
    <w:p>
      <w:pPr>
        <w:pStyle w:val="27"/>
        <w:tabs>
          <w:tab w:val="right" w:leader="dot" w:pos="8192"/>
        </w:tabs>
      </w:pPr>
      <w:r>
        <w:rPr>
          <w:rFonts w:hint="eastAsia" w:ascii="宋体" w:hAnsi="宋体" w:cs="宋体"/>
          <w:color w:val="000000"/>
          <w:szCs w:val="28"/>
        </w:rPr>
        <w:fldChar w:fldCharType="end"/>
      </w:r>
      <w:r>
        <w:rPr>
          <w:rFonts w:hint="eastAsia" w:ascii="宋体" w:hAnsi="宋体" w:cs="宋体"/>
          <w:color w:val="000000"/>
          <w:sz w:val="28"/>
          <w:szCs w:val="28"/>
        </w:rPr>
        <w:fldChar w:fldCharType="begin"/>
      </w:r>
      <w:r>
        <w:rPr>
          <w:rFonts w:hint="eastAsia" w:ascii="宋体" w:hAnsi="宋体" w:cs="宋体"/>
          <w:color w:val="000000"/>
          <w:sz w:val="28"/>
          <w:szCs w:val="28"/>
        </w:rPr>
        <w:instrText xml:space="preserve">TOC \o "1-3" \h \u </w:instrText>
      </w:r>
      <w:r>
        <w:rPr>
          <w:rFonts w:hint="eastAsia" w:ascii="宋体" w:hAnsi="宋体" w:cs="宋体"/>
          <w:color w:val="000000"/>
          <w:sz w:val="28"/>
          <w:szCs w:val="28"/>
        </w:rPr>
        <w:fldChar w:fldCharType="separate"/>
      </w:r>
    </w:p>
    <w:p>
      <w:pPr>
        <w:pStyle w:val="32"/>
        <w:tabs>
          <w:tab w:val="right" w:leader="dot" w:pos="8192"/>
        </w:tabs>
        <w:ind w:firstLine="542"/>
      </w:pPr>
    </w:p>
    <w:p>
      <w:pPr>
        <w:spacing w:line="480" w:lineRule="auto"/>
        <w:rPr>
          <w:rFonts w:ascii="宋体" w:hAnsi="宋体" w:cs="宋体"/>
          <w:b/>
          <w:color w:val="000000"/>
          <w:sz w:val="28"/>
          <w:szCs w:val="28"/>
        </w:rPr>
      </w:pPr>
      <w:r>
        <w:rPr>
          <w:rFonts w:hint="eastAsia" w:ascii="宋体" w:hAnsi="宋体" w:cs="宋体"/>
          <w:color w:val="000000"/>
          <w:szCs w:val="28"/>
        </w:rPr>
        <w:fldChar w:fldCharType="end"/>
      </w:r>
    </w:p>
    <w:p>
      <w:pPr>
        <w:spacing w:line="480" w:lineRule="auto"/>
        <w:rPr>
          <w:rFonts w:ascii="仿宋_GB2312" w:hAnsi="Arial" w:eastAsia="仿宋_GB2312"/>
          <w:b/>
          <w:sz w:val="24"/>
          <w:szCs w:val="24"/>
        </w:rPr>
      </w:pPr>
    </w:p>
    <w:p>
      <w:pPr>
        <w:jc w:val="center"/>
        <w:rPr>
          <w:rFonts w:ascii="宋体" w:hAnsi="宋体" w:cs="宋体"/>
          <w:b/>
          <w:bCs/>
          <w:kern w:val="36"/>
          <w:sz w:val="32"/>
          <w:szCs w:val="32"/>
        </w:rPr>
      </w:pPr>
      <w:bookmarkStart w:id="0" w:name="_Hlk450145046"/>
    </w:p>
    <w:p>
      <w:pPr>
        <w:jc w:val="center"/>
        <w:rPr>
          <w:rFonts w:ascii="宋体" w:hAnsi="宋体" w:cs="宋体"/>
          <w:b/>
          <w:bCs/>
          <w:kern w:val="36"/>
          <w:sz w:val="32"/>
          <w:szCs w:val="32"/>
        </w:rPr>
      </w:pPr>
      <w:r>
        <w:rPr>
          <w:rFonts w:hint="eastAsia" w:ascii="宋体" w:hAnsi="宋体" w:cs="宋体"/>
          <w:b/>
          <w:bCs/>
          <w:kern w:val="36"/>
          <w:sz w:val="32"/>
          <w:szCs w:val="32"/>
        </w:rPr>
        <w:t>六安世立医院消防安保服务项目</w:t>
      </w:r>
    </w:p>
    <w:p>
      <w:pPr>
        <w:widowControl/>
        <w:shd w:val="clear" w:color="auto" w:fill="FFFFFF"/>
        <w:spacing w:beforeLines="50" w:afterLines="50" w:line="520" w:lineRule="exact"/>
        <w:ind w:firstLine="2891" w:firstLineChars="900"/>
        <w:outlineLvl w:val="0"/>
        <w:rPr>
          <w:rFonts w:ascii="宋体" w:hAnsi="宋体" w:cs="宋体"/>
          <w:b/>
          <w:bCs/>
          <w:kern w:val="36"/>
          <w:sz w:val="32"/>
          <w:szCs w:val="32"/>
        </w:rPr>
      </w:pPr>
      <w:bookmarkStart w:id="1" w:name="_Toc2204"/>
      <w:r>
        <w:rPr>
          <w:rFonts w:hint="eastAsia" w:ascii="宋体" w:hAnsi="宋体" w:cs="宋体"/>
          <w:b/>
          <w:bCs/>
          <w:kern w:val="36"/>
          <w:sz w:val="32"/>
          <w:szCs w:val="32"/>
        </w:rPr>
        <w:t>一、公开招标公告</w:t>
      </w:r>
      <w:bookmarkEnd w:id="1"/>
    </w:p>
    <w:p>
      <w:pPr>
        <w:widowControl/>
        <w:shd w:val="clear" w:color="auto" w:fill="FFFFFF"/>
        <w:spacing w:line="560" w:lineRule="exact"/>
        <w:ind w:firstLine="720" w:firstLineChars="300"/>
        <w:jc w:val="left"/>
        <w:rPr>
          <w:rFonts w:ascii="宋体" w:hAnsi="宋体" w:cs="宋体"/>
          <w:color w:val="000000"/>
          <w:kern w:val="0"/>
          <w:sz w:val="24"/>
          <w:szCs w:val="24"/>
        </w:rPr>
      </w:pPr>
      <w:bookmarkStart w:id="2" w:name="OLE_LINK3"/>
      <w:bookmarkStart w:id="3" w:name="OLE_LINK2"/>
      <w:bookmarkStart w:id="4" w:name="OLE_LINK4"/>
      <w:r>
        <w:rPr>
          <w:rFonts w:hint="eastAsia" w:ascii="宋体" w:hAnsi="宋体" w:cs="宋体"/>
          <w:color w:val="000000"/>
          <w:kern w:val="0"/>
          <w:sz w:val="24"/>
          <w:szCs w:val="24"/>
        </w:rPr>
        <w:t>招标项目概况：六安世立医院院区消防安保工作（包括治安防范、消防安全、医患纠纷处置等突发事件、各管辖范围内及病区医疗秩序维护、消防及治安视频监控、全院范围内的人员、全院各种设备设施、包括人防、技防、物防等等安全安保、消防安全的管理工作。</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一、项目名称及内容</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cs="宋体"/>
          <w:color w:val="000000"/>
          <w:kern w:val="0"/>
          <w:sz w:val="24"/>
          <w:szCs w:val="24"/>
        </w:rPr>
        <w:t>1、项目编号：LASLYY-201905</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cs="宋体"/>
          <w:color w:val="000000"/>
          <w:kern w:val="0"/>
          <w:sz w:val="24"/>
          <w:szCs w:val="24"/>
        </w:rPr>
        <w:t>2、项目名称：</w:t>
      </w:r>
      <w:r>
        <w:rPr>
          <w:rFonts w:hint="eastAsia" w:ascii="宋体" w:hAnsi="宋体" w:cs="宋体"/>
          <w:b/>
          <w:bCs/>
          <w:color w:val="000000"/>
          <w:kern w:val="0"/>
          <w:sz w:val="24"/>
          <w:szCs w:val="24"/>
          <w:u w:val="single"/>
        </w:rPr>
        <w:t>六安世立医院消防安保服务项目</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cs="宋体"/>
          <w:color w:val="000000"/>
          <w:kern w:val="0"/>
          <w:sz w:val="24"/>
          <w:szCs w:val="24"/>
        </w:rPr>
        <w:t>3、项目单位：</w:t>
      </w:r>
      <w:r>
        <w:rPr>
          <w:rFonts w:hint="eastAsia" w:ascii="宋体" w:hAnsi="宋体" w:cs="宋体"/>
          <w:b/>
          <w:bCs/>
          <w:color w:val="000000"/>
          <w:kern w:val="0"/>
          <w:sz w:val="24"/>
          <w:szCs w:val="24"/>
          <w:u w:val="single"/>
        </w:rPr>
        <w:t>六安世立医院</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4、资金来源：自筹</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5、项目预算：投标方现场踏勘确定岗位人数并报价</w:t>
      </w:r>
    </w:p>
    <w:p>
      <w:pPr>
        <w:widowControl/>
        <w:shd w:val="clear" w:color="auto" w:fill="FFFFFF"/>
        <w:spacing w:line="560" w:lineRule="exact"/>
        <w:ind w:firstLine="720" w:firstLineChars="300"/>
        <w:rPr>
          <w:rFonts w:ascii="宋体" w:hAnsi="宋体" w:cs="宋体"/>
          <w:color w:val="000000"/>
          <w:kern w:val="0"/>
          <w:sz w:val="24"/>
          <w:szCs w:val="24"/>
        </w:rPr>
      </w:pPr>
      <w:r>
        <w:rPr>
          <w:rFonts w:hint="eastAsia" w:ascii="宋体" w:hAnsi="宋体" w:cs="宋体"/>
          <w:color w:val="000000"/>
          <w:kern w:val="0"/>
          <w:sz w:val="24"/>
          <w:szCs w:val="24"/>
        </w:rPr>
        <w:t>6、标段（包别）划分：1个</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二、投标供应商资格</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1、在境内注册的独立法人企业，具有有效的营业执照。须具备安徽省公安厅核发的保安服务许可证。公司实际经营运营3年以上，有能力承担招标范围内的服务内容，</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2、投</w:t>
      </w:r>
      <w:r>
        <w:rPr>
          <w:rFonts w:hint="eastAsia" w:ascii="宋体" w:hAnsi="宋体" w:cs="宋体"/>
          <w:color w:val="000000" w:themeColor="text1"/>
          <w:kern w:val="0"/>
          <w:sz w:val="24"/>
          <w:szCs w:val="24"/>
        </w:rPr>
        <w:t>标人在2015年1月1日至今（以合同签订时间为准）须具有至少1家二级或二级以上医院安保服务类业绩，需要合同原件备查，</w:t>
      </w:r>
      <w:r>
        <w:rPr>
          <w:rFonts w:hint="eastAsia" w:ascii="宋体" w:hAnsi="宋体" w:cs="宋体"/>
          <w:color w:val="000000"/>
          <w:kern w:val="0"/>
          <w:sz w:val="24"/>
          <w:szCs w:val="24"/>
        </w:rPr>
        <w:t>且合同期不低于1年，</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3、投标人不得被人民法院列为失信被执行人（自行承诺）。</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4、不接受联合体投标。</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(1）供应商或其法定代表人或拟派项目经理（项目负责人）被人民检察院列入行贿犯罪档案的；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(2）供应商被工商行政管理部门列入企业经营异常名录的；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(3）供应商被税务部门列入重大税收违法案件当事人名单的；</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(4）供应商被政府采购监管部门列入政府采购严重违法失信行为记录名单的。</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三、报名及招标文件获取办法</w:t>
      </w:r>
    </w:p>
    <w:p>
      <w:pPr>
        <w:widowControl/>
        <w:shd w:val="clear" w:color="auto" w:fill="FFFFFF"/>
        <w:spacing w:line="560" w:lineRule="exact"/>
        <w:ind w:left="838" w:leftChars="399" w:firstLine="5" w:firstLineChars="2"/>
        <w:rPr>
          <w:rFonts w:ascii="宋体" w:hAnsi="宋体" w:cs="宋体"/>
          <w:color w:val="000000"/>
          <w:kern w:val="0"/>
          <w:sz w:val="24"/>
          <w:szCs w:val="24"/>
        </w:rPr>
      </w:pPr>
      <w:r>
        <w:rPr>
          <w:rFonts w:hint="eastAsia" w:ascii="宋体" w:hAnsi="宋体" w:cs="宋体"/>
          <w:color w:val="444444"/>
          <w:kern w:val="0"/>
          <w:sz w:val="28"/>
          <w:szCs w:val="28"/>
          <w:shd w:val="clear" w:color="auto" w:fill="FFFFFF"/>
        </w:rPr>
        <w:t>请</w:t>
      </w:r>
      <w:r>
        <w:rPr>
          <w:rFonts w:hint="eastAsia" w:ascii="宋体" w:hAnsi="宋体" w:cs="宋体"/>
          <w:color w:val="000000"/>
          <w:kern w:val="0"/>
          <w:sz w:val="24"/>
          <w:szCs w:val="24"/>
        </w:rPr>
        <w:t>感兴趣的合格投标人于2019年</w:t>
      </w:r>
      <w:r>
        <w:rPr>
          <w:rFonts w:hint="eastAsia" w:ascii="宋体" w:hAnsi="宋体" w:cs="宋体"/>
          <w:color w:val="000000"/>
          <w:kern w:val="0"/>
          <w:sz w:val="24"/>
          <w:szCs w:val="24"/>
          <w:u w:val="single"/>
        </w:rPr>
        <w:t xml:space="preserve">  6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4</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日至2019年</w:t>
      </w:r>
      <w:r>
        <w:rPr>
          <w:rFonts w:hint="eastAsia" w:ascii="宋体" w:hAnsi="宋体" w:cs="宋体"/>
          <w:color w:val="000000"/>
          <w:kern w:val="0"/>
          <w:sz w:val="24"/>
          <w:szCs w:val="24"/>
          <w:u w:val="single"/>
        </w:rPr>
        <w:t xml:space="preserve">   6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日每天上午09:00至11:00,下午14:30至17:00 (北京时间，节假日除外)到安徽省六安世立医院现场报名。报名时请携带以下资料，按顺序装订成册，只接受资料齐全单位的报名：</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1、企业法人授权书原件（写明授权代表姓名、电话、邮箱），被授权人身份证复印件（原件携带备查）；</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2、投标人营业执照及保安服务许可证复印件加盖投标单位公章；</w:t>
      </w:r>
    </w:p>
    <w:p>
      <w:pPr>
        <w:widowControl/>
        <w:shd w:val="clear" w:color="auto" w:fill="FFFFFF"/>
        <w:spacing w:line="560" w:lineRule="exact"/>
        <w:ind w:firstLine="640"/>
        <w:rPr>
          <w:rFonts w:ascii="宋体" w:hAnsi="宋体" w:cs="宋体"/>
          <w:color w:val="000000" w:themeColor="text1"/>
          <w:kern w:val="0"/>
          <w:sz w:val="24"/>
          <w:szCs w:val="24"/>
        </w:rPr>
      </w:pPr>
      <w:r>
        <w:rPr>
          <w:rFonts w:hint="eastAsia" w:ascii="宋体" w:hAnsi="宋体" w:cs="宋体"/>
          <w:color w:val="000000" w:themeColor="text1"/>
          <w:kern w:val="0"/>
          <w:sz w:val="24"/>
          <w:szCs w:val="24"/>
        </w:rPr>
        <w:t>3、投标人在2015年1月1日至今（以合同签订时间为准）须具有至少1家二级或二级以上医院安保服务类业绩，需要合同原件备查，且合同期不低于1年。;（提供合同原件件，否则报名无效）</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4、投标人不得被人民法院列为失信被执行人的承诺书原件（自行承诺）。</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5、投标人认为需要提供的其他资料。</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四、开标时间及地点</w:t>
      </w:r>
    </w:p>
    <w:p>
      <w:pPr>
        <w:widowControl/>
        <w:shd w:val="clear" w:color="auto" w:fill="FFFFFF"/>
        <w:wordWrap w:val="0"/>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 xml:space="preserve">1、开标时间及投标文件递交截止时间：2019年 6 月 </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 xml:space="preserve"> 日；</w:t>
      </w:r>
    </w:p>
    <w:p>
      <w:pPr>
        <w:widowControl/>
        <w:shd w:val="clear" w:color="auto" w:fill="FFFFFF"/>
        <w:wordWrap w:val="0"/>
        <w:spacing w:line="520" w:lineRule="exact"/>
        <w:ind w:firstLine="480" w:firstLineChars="200"/>
        <w:jc w:val="left"/>
        <w:rPr>
          <w:rFonts w:ascii="宋体" w:hAnsi="宋体" w:cs="宋体"/>
          <w:color w:val="000000" w:themeColor="text1"/>
          <w:kern w:val="0"/>
          <w:sz w:val="24"/>
          <w:szCs w:val="24"/>
          <w:u w:val="single"/>
        </w:rPr>
      </w:pPr>
      <w:r>
        <w:rPr>
          <w:rFonts w:hint="eastAsia" w:ascii="宋体" w:hAnsi="宋体" w:cs="宋体"/>
          <w:color w:val="000000"/>
          <w:kern w:val="0"/>
          <w:sz w:val="24"/>
          <w:szCs w:val="24"/>
        </w:rPr>
        <w:t>2、开标地点及投标文</w:t>
      </w:r>
      <w:r>
        <w:rPr>
          <w:rFonts w:hint="eastAsia" w:ascii="宋体" w:hAnsi="宋体" w:cs="宋体"/>
          <w:kern w:val="0"/>
          <w:sz w:val="24"/>
          <w:szCs w:val="24"/>
        </w:rPr>
        <w:t>件送达地址</w:t>
      </w:r>
      <w:r>
        <w:rPr>
          <w:rFonts w:hint="eastAsia" w:ascii="宋体" w:hAnsi="宋体" w:cs="宋体"/>
          <w:color w:val="000000"/>
          <w:kern w:val="0"/>
          <w:sz w:val="24"/>
          <w:szCs w:val="24"/>
        </w:rPr>
        <w:t>：</w:t>
      </w:r>
      <w:r>
        <w:rPr>
          <w:rFonts w:hint="eastAsia" w:ascii="宋体" w:hAnsi="宋体" w:cs="宋体"/>
          <w:color w:val="000000"/>
          <w:kern w:val="0"/>
          <w:sz w:val="24"/>
          <w:szCs w:val="24"/>
          <w:u w:val="single"/>
        </w:rPr>
        <w:t>六安世</w:t>
      </w:r>
      <w:r>
        <w:rPr>
          <w:rFonts w:hint="eastAsia" w:ascii="宋体" w:hAnsi="宋体" w:cs="宋体"/>
          <w:color w:val="000000" w:themeColor="text1"/>
          <w:kern w:val="0"/>
          <w:sz w:val="24"/>
          <w:szCs w:val="24"/>
          <w:u w:val="single"/>
        </w:rPr>
        <w:t>立医院保卫科</w:t>
      </w:r>
    </w:p>
    <w:p>
      <w:pPr>
        <w:widowControl/>
        <w:shd w:val="clear" w:color="auto" w:fill="FFFFFF"/>
        <w:spacing w:line="520" w:lineRule="exact"/>
        <w:jc w:val="left"/>
        <w:rPr>
          <w:rFonts w:ascii="宋体" w:hAnsi="宋体" w:cs="宋体"/>
          <w:color w:val="000000" w:themeColor="text1"/>
          <w:kern w:val="0"/>
          <w:sz w:val="28"/>
          <w:szCs w:val="28"/>
        </w:rPr>
      </w:pPr>
      <w:r>
        <w:rPr>
          <w:rFonts w:hint="eastAsia" w:ascii="宋体" w:hAnsi="宋体" w:cs="宋体"/>
          <w:b/>
          <w:bCs/>
          <w:color w:val="000000" w:themeColor="text1"/>
          <w:kern w:val="0"/>
          <w:sz w:val="28"/>
          <w:szCs w:val="28"/>
        </w:rPr>
        <w:t>五、投标截止时间</w:t>
      </w:r>
    </w:p>
    <w:p>
      <w:pPr>
        <w:widowControl/>
        <w:shd w:val="clear" w:color="auto" w:fill="FFFFFF"/>
        <w:spacing w:line="520" w:lineRule="exact"/>
        <w:ind w:firstLine="640"/>
        <w:jc w:val="left"/>
        <w:rPr>
          <w:rFonts w:ascii="宋体" w:hAnsi="宋体" w:cs="宋体"/>
          <w:color w:val="000000"/>
          <w:kern w:val="0"/>
          <w:sz w:val="24"/>
          <w:szCs w:val="24"/>
        </w:rPr>
      </w:pPr>
      <w:r>
        <w:rPr>
          <w:rFonts w:hint="eastAsia" w:ascii="宋体" w:hAnsi="宋体" w:cs="宋体"/>
          <w:color w:val="000000"/>
          <w:kern w:val="0"/>
          <w:sz w:val="24"/>
          <w:szCs w:val="24"/>
        </w:rPr>
        <w:t>同开标时间</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六、联系方法</w:t>
      </w:r>
    </w:p>
    <w:p>
      <w:pPr>
        <w:widowControl/>
        <w:shd w:val="clear" w:color="auto" w:fill="FFFFFF"/>
        <w:spacing w:line="520" w:lineRule="exact"/>
        <w:ind w:firstLine="240" w:firstLineChars="100"/>
        <w:jc w:val="left"/>
        <w:rPr>
          <w:rFonts w:ascii="宋体" w:hAnsi="宋体" w:cs="宋体"/>
          <w:kern w:val="0"/>
          <w:sz w:val="24"/>
          <w:szCs w:val="24"/>
        </w:rPr>
      </w:pPr>
      <w:r>
        <w:rPr>
          <w:rFonts w:hint="eastAsia" w:ascii="宋体" w:hAnsi="宋体" w:cs="宋体"/>
          <w:color w:val="000000"/>
          <w:kern w:val="0"/>
          <w:sz w:val="24"/>
          <w:szCs w:val="24"/>
        </w:rPr>
        <w:t>（</w:t>
      </w:r>
      <w:r>
        <w:rPr>
          <w:rFonts w:hint="eastAsia" w:ascii="宋体" w:hAnsi="宋体" w:cs="宋体"/>
          <w:kern w:val="0"/>
          <w:sz w:val="24"/>
          <w:szCs w:val="24"/>
        </w:rPr>
        <w:t>一）采购单位：</w:t>
      </w:r>
      <w:r>
        <w:rPr>
          <w:rFonts w:hint="eastAsia" w:ascii="宋体" w:hAnsi="宋体" w:cs="宋体"/>
          <w:color w:val="000000"/>
          <w:kern w:val="0"/>
          <w:sz w:val="24"/>
          <w:szCs w:val="24"/>
        </w:rPr>
        <w:t>六安世立医院</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详细地址：安徽省六安市磨子潭路西侧（义乌市场对面）</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联系人：齐磊</w:t>
      </w:r>
    </w:p>
    <w:p>
      <w:pPr>
        <w:widowControl/>
        <w:shd w:val="clear" w:color="auto" w:fill="FFFFFF"/>
        <w:spacing w:line="560" w:lineRule="exact"/>
        <w:ind w:firstLine="640"/>
        <w:rPr>
          <w:rFonts w:ascii="宋体" w:hAnsi="宋体" w:cs="宋体"/>
          <w:color w:val="000000"/>
          <w:kern w:val="0"/>
          <w:sz w:val="24"/>
          <w:szCs w:val="24"/>
        </w:rPr>
      </w:pPr>
      <w:r>
        <w:rPr>
          <w:rFonts w:hint="eastAsia" w:ascii="宋体" w:hAnsi="宋体" w:cs="宋体"/>
          <w:color w:val="000000"/>
          <w:kern w:val="0"/>
          <w:sz w:val="24"/>
          <w:szCs w:val="24"/>
        </w:rPr>
        <w:t>电话：18919795367</w:t>
      </w:r>
    </w:p>
    <w:p>
      <w:pPr>
        <w:widowControl/>
        <w:shd w:val="clear" w:color="auto" w:fill="FFFFFF"/>
        <w:spacing w:line="520" w:lineRule="exact"/>
        <w:ind w:firstLine="960" w:firstLineChars="400"/>
        <w:jc w:val="left"/>
        <w:rPr>
          <w:rFonts w:ascii="宋体" w:hAnsi="宋体" w:cs="宋体"/>
          <w:color w:val="000000"/>
          <w:kern w:val="0"/>
          <w:sz w:val="24"/>
          <w:szCs w:val="24"/>
        </w:rPr>
      </w:pPr>
    </w:p>
    <w:p>
      <w:pPr>
        <w:widowControl/>
        <w:numPr>
          <w:ilvl w:val="0"/>
          <w:numId w:val="3"/>
        </w:numPr>
        <w:shd w:val="clear" w:color="auto" w:fill="FFFFFF"/>
        <w:spacing w:line="520" w:lineRule="exact"/>
        <w:jc w:val="left"/>
        <w:rPr>
          <w:rFonts w:ascii="宋体" w:hAnsi="宋体" w:cs="宋体"/>
          <w:b/>
          <w:bCs/>
          <w:color w:val="000000"/>
          <w:kern w:val="0"/>
          <w:sz w:val="28"/>
          <w:szCs w:val="28"/>
        </w:rPr>
      </w:pPr>
      <w:r>
        <w:rPr>
          <w:rFonts w:hint="eastAsia" w:ascii="宋体" w:hAnsi="宋体" w:cs="宋体"/>
          <w:b/>
          <w:bCs/>
          <w:color w:val="000000"/>
          <w:kern w:val="0"/>
          <w:sz w:val="28"/>
          <w:szCs w:val="28"/>
        </w:rPr>
        <w:t>其它事项说明</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无</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八、公告期限</w:t>
      </w:r>
    </w:p>
    <w:p>
      <w:pPr>
        <w:widowControl/>
        <w:shd w:val="clear" w:color="auto" w:fill="FFFFFF"/>
        <w:spacing w:line="52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本项目公告期限为</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个工作日。</w:t>
      </w:r>
    </w:p>
    <w:p>
      <w:pPr>
        <w:widowControl/>
        <w:shd w:val="clear" w:color="auto" w:fill="FFFFFF"/>
        <w:spacing w:line="520" w:lineRule="exact"/>
        <w:jc w:val="left"/>
        <w:rPr>
          <w:rFonts w:ascii="宋体" w:hAnsi="宋体" w:cs="宋体"/>
          <w:color w:val="000000"/>
          <w:kern w:val="0"/>
          <w:sz w:val="28"/>
          <w:szCs w:val="28"/>
        </w:rPr>
      </w:pPr>
      <w:r>
        <w:rPr>
          <w:rFonts w:hint="eastAsia" w:ascii="宋体" w:hAnsi="宋体" w:cs="宋体"/>
          <w:b/>
          <w:bCs/>
          <w:color w:val="000000"/>
          <w:kern w:val="0"/>
          <w:sz w:val="28"/>
          <w:szCs w:val="28"/>
        </w:rPr>
        <w:t>九、投标保证金缴纳账户</w:t>
      </w:r>
    </w:p>
    <w:p>
      <w:pPr>
        <w:widowControl/>
        <w:shd w:val="clear" w:color="auto" w:fill="FFFFFF"/>
        <w:spacing w:line="520" w:lineRule="exact"/>
        <w:ind w:firstLine="480"/>
        <w:jc w:val="left"/>
        <w:rPr>
          <w:rFonts w:ascii="宋体" w:hAnsi="宋体" w:cs="宋体"/>
          <w:kern w:val="0"/>
          <w:sz w:val="24"/>
          <w:szCs w:val="24"/>
        </w:rPr>
      </w:pPr>
      <w:r>
        <w:rPr>
          <w:rFonts w:hint="eastAsia" w:ascii="宋体" w:hAnsi="宋体" w:cs="宋体"/>
          <w:kern w:val="0"/>
          <w:sz w:val="24"/>
          <w:szCs w:val="24"/>
        </w:rPr>
        <w:t>投标保证金为：人民币</w:t>
      </w:r>
      <w:r>
        <w:rPr>
          <w:rFonts w:hint="eastAsia" w:ascii="宋体" w:hAnsi="宋体" w:cs="宋体"/>
          <w:kern w:val="0"/>
          <w:sz w:val="24"/>
          <w:szCs w:val="24"/>
          <w:u w:val="single"/>
        </w:rPr>
        <w:t>壹</w:t>
      </w:r>
      <w:r>
        <w:rPr>
          <w:rFonts w:hint="eastAsia" w:ascii="宋体" w:hAnsi="宋体" w:cs="宋体"/>
          <w:kern w:val="0"/>
          <w:sz w:val="24"/>
          <w:szCs w:val="24"/>
        </w:rPr>
        <w:t>万元整（</w:t>
      </w:r>
      <w:r>
        <w:rPr>
          <w:rFonts w:hint="eastAsia" w:ascii="宋体" w:hAnsi="宋体" w:cs="宋体"/>
          <w:kern w:val="0"/>
          <w:sz w:val="24"/>
          <w:szCs w:val="24"/>
          <w:u w:val="single"/>
        </w:rPr>
        <w:t>10000.00</w:t>
      </w:r>
      <w:r>
        <w:rPr>
          <w:rFonts w:hint="eastAsia" w:ascii="宋体" w:hAnsi="宋体" w:cs="宋体"/>
          <w:kern w:val="0"/>
          <w:sz w:val="24"/>
          <w:szCs w:val="24"/>
        </w:rPr>
        <w:t>元）。</w:t>
      </w:r>
    </w:p>
    <w:p>
      <w:pPr>
        <w:widowControl/>
        <w:spacing w:line="540" w:lineRule="exact"/>
        <w:ind w:firstLine="480" w:firstLineChars="200"/>
        <w:jc w:val="left"/>
      </w:pPr>
      <w:r>
        <w:rPr>
          <w:rFonts w:hint="eastAsia" w:ascii="宋体" w:hAnsi="宋体" w:cs="宋体"/>
          <w:color w:val="000000"/>
          <w:kern w:val="0"/>
          <w:sz w:val="24"/>
          <w:szCs w:val="24"/>
        </w:rPr>
        <w:t>投标保证金可采取下列形式：(1)银行转账  (2)网银支付</w:t>
      </w:r>
    </w:p>
    <w:p>
      <w:pPr>
        <w:widowControl/>
        <w:spacing w:line="540" w:lineRule="exact"/>
        <w:ind w:firstLine="482" w:firstLineChars="200"/>
        <w:jc w:val="left"/>
      </w:pPr>
      <w:r>
        <w:rPr>
          <w:rFonts w:hint="eastAsia" w:ascii="宋体" w:hAnsi="宋体" w:cs="宋体"/>
          <w:b/>
          <w:color w:val="333333"/>
          <w:kern w:val="0"/>
          <w:sz w:val="24"/>
          <w:szCs w:val="24"/>
        </w:rPr>
        <w:t>投标保证金指定账户：</w:t>
      </w:r>
    </w:p>
    <w:p>
      <w:pPr>
        <w:widowControl/>
        <w:spacing w:line="540" w:lineRule="exact"/>
        <w:ind w:firstLine="480" w:firstLineChars="200"/>
        <w:jc w:val="left"/>
      </w:pPr>
      <w:r>
        <w:rPr>
          <w:rFonts w:hint="eastAsia" w:ascii="宋体" w:hAnsi="宋体" w:cs="宋体"/>
          <w:color w:val="333333"/>
          <w:kern w:val="0"/>
          <w:sz w:val="24"/>
          <w:szCs w:val="24"/>
        </w:rPr>
        <w:t>户  名：</w:t>
      </w:r>
    </w:p>
    <w:p>
      <w:pPr>
        <w:widowControl/>
        <w:spacing w:line="540" w:lineRule="exact"/>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 xml:space="preserve">账  号： </w:t>
      </w:r>
    </w:p>
    <w:p>
      <w:pPr>
        <w:widowControl/>
        <w:spacing w:line="540" w:lineRule="exact"/>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开户行：</w:t>
      </w:r>
    </w:p>
    <w:p>
      <w:pPr>
        <w:widowControl/>
        <w:spacing w:line="540" w:lineRule="exact"/>
        <w:ind w:firstLine="480" w:firstLineChars="200"/>
        <w:jc w:val="left"/>
        <w:rPr>
          <w:rFonts w:ascii="宋体" w:hAnsi="宋体" w:cs="宋体"/>
          <w:bCs/>
          <w:color w:val="333333"/>
          <w:kern w:val="0"/>
          <w:sz w:val="24"/>
          <w:szCs w:val="24"/>
        </w:rPr>
      </w:pPr>
      <w:r>
        <w:rPr>
          <w:rFonts w:hint="eastAsia" w:ascii="宋体" w:hAnsi="宋体" w:cs="宋体"/>
          <w:bCs/>
          <w:color w:val="333333"/>
          <w:kern w:val="0"/>
          <w:sz w:val="24"/>
          <w:szCs w:val="24"/>
        </w:rPr>
        <w:t>备注：</w:t>
      </w:r>
    </w:p>
    <w:p>
      <w:pPr>
        <w:widowControl/>
        <w:spacing w:line="540" w:lineRule="exact"/>
        <w:ind w:firstLine="480" w:firstLineChars="200"/>
        <w:jc w:val="left"/>
        <w:rPr>
          <w:rFonts w:ascii="宋体" w:hAnsi="宋体" w:cs="宋体"/>
          <w:color w:val="000000"/>
          <w:kern w:val="0"/>
          <w:sz w:val="24"/>
          <w:szCs w:val="24"/>
        </w:rPr>
      </w:pPr>
      <w:r>
        <w:rPr>
          <w:rFonts w:hint="eastAsia" w:ascii="宋体" w:hAnsi="宋体" w:cs="宋体"/>
          <w:bCs/>
          <w:color w:val="333333"/>
          <w:kern w:val="0"/>
          <w:sz w:val="24"/>
          <w:szCs w:val="24"/>
        </w:rPr>
        <w:t>（1）投标保证金须从投标单位基本帐户转出，到账时间为投标截止时间前。</w:t>
      </w:r>
    </w:p>
    <w:p>
      <w:pPr>
        <w:widowControl/>
        <w:shd w:val="clear" w:color="auto" w:fill="FFFFFF"/>
        <w:spacing w:line="500" w:lineRule="exact"/>
        <w:ind w:firstLine="480"/>
        <w:jc w:val="right"/>
        <w:rPr>
          <w:rFonts w:ascii="宋体" w:hAnsi="宋体" w:cs="宋体"/>
          <w:color w:val="000000"/>
          <w:kern w:val="0"/>
          <w:sz w:val="24"/>
          <w:szCs w:val="24"/>
        </w:rPr>
      </w:pPr>
    </w:p>
    <w:p>
      <w:pPr>
        <w:widowControl/>
        <w:shd w:val="clear" w:color="auto" w:fill="FFFFFF"/>
        <w:spacing w:line="500" w:lineRule="exact"/>
        <w:ind w:firstLine="480"/>
        <w:jc w:val="right"/>
        <w:rPr>
          <w:rFonts w:ascii="宋体" w:hAnsi="宋体" w:cs="宋体"/>
          <w:color w:val="000000"/>
          <w:kern w:val="0"/>
          <w:sz w:val="24"/>
          <w:szCs w:val="24"/>
        </w:rPr>
      </w:pPr>
    </w:p>
    <w:p>
      <w:pPr>
        <w:pStyle w:val="36"/>
        <w:shd w:val="clear" w:color="auto" w:fill="FFFFFF"/>
        <w:wordWrap w:val="0"/>
        <w:spacing w:before="0" w:beforeAutospacing="0" w:after="0" w:afterAutospacing="0" w:line="500" w:lineRule="exact"/>
        <w:ind w:firstLine="480"/>
        <w:jc w:val="right"/>
        <w:rPr>
          <w:rFonts w:hint="default" w:cs="宋体"/>
          <w:color w:val="000000"/>
        </w:rPr>
      </w:pPr>
      <w:r>
        <w:rPr>
          <w:rFonts w:cs="宋体"/>
          <w:color w:val="000000"/>
        </w:rPr>
        <w:t>六安世立医院</w:t>
      </w:r>
    </w:p>
    <w:p>
      <w:pPr>
        <w:pStyle w:val="36"/>
        <w:shd w:val="clear" w:color="auto" w:fill="FFFFFF"/>
        <w:wordWrap w:val="0"/>
        <w:spacing w:before="0" w:beforeAutospacing="0" w:after="0" w:afterAutospacing="0" w:line="500" w:lineRule="exact"/>
        <w:ind w:firstLine="480"/>
        <w:jc w:val="right"/>
        <w:rPr>
          <w:rFonts w:hint="default" w:cs="宋体"/>
          <w:color w:val="000000"/>
        </w:rPr>
      </w:pPr>
      <w:r>
        <w:rPr>
          <w:rFonts w:cs="宋体"/>
          <w:color w:val="000000"/>
        </w:rPr>
        <w:t>2019年</w:t>
      </w:r>
      <w:r>
        <w:rPr>
          <w:rFonts w:hint="eastAsia" w:cs="宋体"/>
          <w:color w:val="000000"/>
          <w:lang w:val="en-US" w:eastAsia="zh-CN"/>
        </w:rPr>
        <w:t>6</w:t>
      </w:r>
      <w:r>
        <w:rPr>
          <w:rFonts w:cs="宋体"/>
          <w:color w:val="000000"/>
        </w:rPr>
        <w:t>月 3日</w:t>
      </w:r>
    </w:p>
    <w:bookmarkEnd w:id="2"/>
    <w:bookmarkEnd w:id="3"/>
    <w:bookmarkEnd w:id="4"/>
    <w:p>
      <w:pPr>
        <w:pStyle w:val="3"/>
        <w:rPr>
          <w:rFonts w:ascii="宋体" w:hAnsi="宋体" w:eastAsia="宋体" w:cs="Arial"/>
          <w:sz w:val="24"/>
          <w:szCs w:val="24"/>
        </w:rPr>
      </w:pPr>
      <w:r>
        <w:rPr>
          <w:rFonts w:hint="eastAsia" w:ascii="宋体" w:hAnsi="宋体" w:eastAsia="宋体" w:cs="Arial"/>
          <w:sz w:val="24"/>
          <w:szCs w:val="24"/>
        </w:rPr>
        <w:t xml:space="preserve"> </w:t>
      </w:r>
    </w:p>
    <w:p>
      <w:pPr>
        <w:pStyle w:val="4"/>
      </w:pPr>
    </w:p>
    <w:p>
      <w:pPr>
        <w:pStyle w:val="4"/>
      </w:pPr>
    </w:p>
    <w:p>
      <w:pPr>
        <w:pStyle w:val="4"/>
      </w:pPr>
    </w:p>
    <w:p>
      <w:pPr>
        <w:pStyle w:val="2"/>
        <w:numPr>
          <w:ilvl w:val="0"/>
          <w:numId w:val="0"/>
        </w:numPr>
        <w:ind w:left="1260" w:firstLine="1687" w:firstLineChars="700"/>
        <w:rPr>
          <w:rFonts w:ascii="宋体" w:hAnsi="宋体"/>
          <w:b/>
          <w:bCs/>
          <w:sz w:val="24"/>
          <w:szCs w:val="24"/>
        </w:rPr>
      </w:pPr>
      <w:bookmarkStart w:id="5" w:name="_Toc16997"/>
      <w:r>
        <w:rPr>
          <w:rFonts w:hint="eastAsia" w:ascii="宋体" w:hAnsi="宋体" w:eastAsia="宋体" w:cs="Arial"/>
          <w:b/>
          <w:bCs/>
          <w:sz w:val="24"/>
          <w:szCs w:val="24"/>
        </w:rPr>
        <w:t>二、投标人须知前附表</w:t>
      </w:r>
      <w:bookmarkEnd w:id="0"/>
      <w:bookmarkEnd w:id="5"/>
    </w:p>
    <w:p/>
    <w:tbl>
      <w:tblPr>
        <w:tblStyle w:val="41"/>
        <w:tblW w:w="10108" w:type="dxa"/>
        <w:tblInd w:w="-103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915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trPr>
        <w:tc>
          <w:tcPr>
            <w:tcW w:w="949" w:type="dxa"/>
            <w:vAlign w:val="center"/>
          </w:tcPr>
          <w:p>
            <w:pPr>
              <w:spacing w:line="240" w:lineRule="atLeast"/>
              <w:jc w:val="center"/>
              <w:rPr>
                <w:rFonts w:ascii="宋体" w:hAnsi="宋体"/>
                <w:b/>
                <w:sz w:val="24"/>
                <w:szCs w:val="24"/>
              </w:rPr>
            </w:pPr>
            <w:r>
              <w:rPr>
                <w:rFonts w:hint="eastAsia" w:ascii="宋体" w:hAnsi="宋体"/>
                <w:b/>
                <w:sz w:val="24"/>
                <w:szCs w:val="24"/>
              </w:rPr>
              <w:t>序号</w:t>
            </w:r>
          </w:p>
        </w:tc>
        <w:tc>
          <w:tcPr>
            <w:tcW w:w="9159" w:type="dxa"/>
            <w:vAlign w:val="center"/>
          </w:tcPr>
          <w:p>
            <w:pPr>
              <w:spacing w:line="240" w:lineRule="atLeast"/>
              <w:jc w:val="center"/>
              <w:rPr>
                <w:rFonts w:ascii="宋体" w:hAnsi="宋体"/>
                <w:b/>
                <w:sz w:val="24"/>
                <w:szCs w:val="24"/>
              </w:rPr>
            </w:pPr>
            <w:r>
              <w:rPr>
                <w:rFonts w:hint="eastAsia" w:ascii="宋体" w:hAnsi="宋体"/>
                <w:b/>
                <w:sz w:val="24"/>
                <w:szCs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949" w:type="dxa"/>
            <w:vMerge w:val="restart"/>
            <w:vAlign w:val="center"/>
          </w:tcPr>
          <w:p>
            <w:pPr>
              <w:ind w:right="102"/>
              <w:jc w:val="center"/>
              <w:rPr>
                <w:rFonts w:ascii="宋体" w:hAnsi="宋体"/>
                <w:color w:val="000000"/>
                <w:sz w:val="24"/>
                <w:szCs w:val="24"/>
              </w:rPr>
            </w:pPr>
            <w:r>
              <w:rPr>
                <w:rFonts w:hint="eastAsia" w:ascii="宋体" w:hAnsi="宋体"/>
                <w:color w:val="000000"/>
                <w:sz w:val="24"/>
                <w:szCs w:val="24"/>
              </w:rPr>
              <w:t>1</w:t>
            </w:r>
          </w:p>
        </w:tc>
        <w:tc>
          <w:tcPr>
            <w:tcW w:w="9159" w:type="dxa"/>
            <w:vAlign w:val="center"/>
          </w:tcPr>
          <w:p>
            <w:pPr>
              <w:rPr>
                <w:rFonts w:ascii="宋体" w:hAnsi="宋体"/>
                <w:color w:val="000000"/>
                <w:sz w:val="24"/>
                <w:szCs w:val="24"/>
              </w:rPr>
            </w:pPr>
            <w:r>
              <w:rPr>
                <w:rFonts w:hint="eastAsia" w:ascii="宋体" w:hAnsi="宋体" w:cs="宋体"/>
                <w:b/>
                <w:bCs/>
                <w:color w:val="000000"/>
                <w:kern w:val="0"/>
                <w:sz w:val="24"/>
                <w:szCs w:val="24"/>
              </w:rPr>
              <w:t>六安世立医院消防安保服务项目</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949" w:type="dxa"/>
            <w:vMerge w:val="continue"/>
            <w:vAlign w:val="center"/>
          </w:tcPr>
          <w:p>
            <w:pPr>
              <w:ind w:right="102"/>
              <w:jc w:val="center"/>
              <w:rPr>
                <w:rFonts w:ascii="宋体" w:hAnsi="宋体"/>
                <w:color w:val="000000"/>
                <w:sz w:val="24"/>
                <w:szCs w:val="24"/>
              </w:rPr>
            </w:pPr>
          </w:p>
        </w:tc>
        <w:tc>
          <w:tcPr>
            <w:tcW w:w="9159" w:type="dxa"/>
            <w:vAlign w:val="center"/>
          </w:tcPr>
          <w:p>
            <w:pPr>
              <w:rPr>
                <w:rFonts w:ascii="宋体" w:hAnsi="宋体"/>
                <w:szCs w:val="22"/>
              </w:rPr>
            </w:pPr>
            <w:r>
              <w:rPr>
                <w:rFonts w:hint="eastAsia" w:ascii="宋体" w:hAnsi="宋体"/>
                <w:szCs w:val="22"/>
              </w:rPr>
              <w:t>招标编号：LASLYY-201905</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7" w:hRule="atLeast"/>
        </w:trPr>
        <w:tc>
          <w:tcPr>
            <w:tcW w:w="949" w:type="dxa"/>
            <w:vAlign w:val="center"/>
          </w:tcPr>
          <w:p>
            <w:pPr>
              <w:ind w:right="102"/>
              <w:jc w:val="center"/>
              <w:rPr>
                <w:rFonts w:ascii="宋体" w:hAnsi="宋体"/>
                <w:color w:val="000000"/>
                <w:sz w:val="24"/>
                <w:szCs w:val="24"/>
              </w:rPr>
            </w:pPr>
            <w:r>
              <w:rPr>
                <w:rFonts w:hint="eastAsia" w:ascii="宋体" w:hAnsi="宋体"/>
                <w:color w:val="000000"/>
                <w:sz w:val="24"/>
                <w:szCs w:val="24"/>
              </w:rPr>
              <w:t>2</w:t>
            </w:r>
          </w:p>
        </w:tc>
        <w:tc>
          <w:tcPr>
            <w:tcW w:w="9159" w:type="dxa"/>
            <w:vAlign w:val="center"/>
          </w:tcPr>
          <w:p>
            <w:pPr>
              <w:rPr>
                <w:rFonts w:ascii="宋体" w:hAnsi="宋体"/>
                <w:szCs w:val="22"/>
              </w:rPr>
            </w:pPr>
            <w:r>
              <w:rPr>
                <w:rFonts w:hint="eastAsia" w:ascii="宋体" w:hAnsi="宋体"/>
                <w:szCs w:val="22"/>
              </w:rPr>
              <w:t>采购单位：六安世立医院</w:t>
            </w:r>
          </w:p>
          <w:p>
            <w:pPr>
              <w:rPr>
                <w:rFonts w:ascii="宋体" w:hAnsi="宋体"/>
                <w:szCs w:val="22"/>
              </w:rPr>
            </w:pPr>
            <w:r>
              <w:rPr>
                <w:rFonts w:hint="eastAsia" w:ascii="宋体" w:hAnsi="宋体"/>
                <w:szCs w:val="22"/>
              </w:rPr>
              <w:t>采购单位地址：安徽省六安市磨子潭路西侧（</w:t>
            </w:r>
            <w:r>
              <w:rPr>
                <w:rFonts w:hint="eastAsia" w:ascii="宋体" w:hAnsi="宋体" w:cs="宋体"/>
                <w:color w:val="000000"/>
                <w:kern w:val="0"/>
                <w:szCs w:val="21"/>
              </w:rPr>
              <w:t>义乌</w:t>
            </w:r>
            <w:r>
              <w:rPr>
                <w:rFonts w:hint="eastAsia" w:ascii="宋体" w:hAnsi="宋体"/>
                <w:szCs w:val="22"/>
              </w:rPr>
              <w:t>市场对面）</w:t>
            </w:r>
          </w:p>
          <w:p>
            <w:pPr>
              <w:rPr>
                <w:rFonts w:ascii="宋体" w:hAnsi="宋体"/>
                <w:szCs w:val="22"/>
              </w:rPr>
            </w:pPr>
            <w:r>
              <w:rPr>
                <w:rFonts w:hint="eastAsia" w:ascii="宋体" w:hAnsi="宋体"/>
                <w:szCs w:val="22"/>
              </w:rPr>
              <w:t>联系人：齐磊</w:t>
            </w:r>
          </w:p>
          <w:p>
            <w:pPr>
              <w:rPr>
                <w:rFonts w:ascii="宋体" w:hAnsi="宋体"/>
                <w:szCs w:val="22"/>
              </w:rPr>
            </w:pPr>
            <w:r>
              <w:rPr>
                <w:rFonts w:hint="eastAsia" w:ascii="宋体" w:hAnsi="宋体"/>
                <w:szCs w:val="22"/>
              </w:rPr>
              <w:t>电话：18919795367</w:t>
            </w:r>
          </w:p>
          <w:p>
            <w:pPr>
              <w:rPr>
                <w:rFonts w:ascii="宋体" w:hAnsi="宋体"/>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trPr>
        <w:tc>
          <w:tcPr>
            <w:tcW w:w="949" w:type="dxa"/>
            <w:vAlign w:val="center"/>
          </w:tcPr>
          <w:p>
            <w:pPr>
              <w:ind w:firstLine="360" w:firstLineChars="150"/>
              <w:rPr>
                <w:rFonts w:ascii="宋体" w:hAnsi="宋体"/>
                <w:sz w:val="24"/>
                <w:szCs w:val="24"/>
              </w:rPr>
            </w:pPr>
            <w:r>
              <w:rPr>
                <w:rFonts w:hint="eastAsia" w:ascii="宋体" w:hAnsi="宋体"/>
                <w:sz w:val="24"/>
                <w:szCs w:val="24"/>
              </w:rPr>
              <w:t>3</w:t>
            </w:r>
          </w:p>
        </w:tc>
        <w:tc>
          <w:tcPr>
            <w:tcW w:w="9159" w:type="dxa"/>
            <w:vAlign w:val="center"/>
          </w:tcPr>
          <w:p>
            <w:pPr>
              <w:rPr>
                <w:rFonts w:ascii="宋体" w:hAnsi="宋体"/>
                <w:szCs w:val="22"/>
              </w:rPr>
            </w:pPr>
            <w:r>
              <w:rPr>
                <w:rFonts w:hint="eastAsia" w:ascii="宋体" w:hAnsi="宋体"/>
                <w:szCs w:val="22"/>
              </w:rPr>
              <w:t xml:space="preserve">招标方式：公开招标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trPr>
        <w:tc>
          <w:tcPr>
            <w:tcW w:w="949" w:type="dxa"/>
            <w:vAlign w:val="center"/>
          </w:tcPr>
          <w:p>
            <w:pPr>
              <w:jc w:val="center"/>
              <w:rPr>
                <w:rFonts w:ascii="宋体" w:hAnsi="宋体"/>
                <w:sz w:val="24"/>
                <w:szCs w:val="24"/>
              </w:rPr>
            </w:pPr>
            <w:r>
              <w:rPr>
                <w:rFonts w:hint="eastAsia" w:ascii="宋体" w:hAnsi="宋体"/>
                <w:sz w:val="24"/>
                <w:szCs w:val="24"/>
              </w:rPr>
              <w:t>4</w:t>
            </w:r>
          </w:p>
        </w:tc>
        <w:tc>
          <w:tcPr>
            <w:tcW w:w="9159" w:type="dxa"/>
            <w:vAlign w:val="center"/>
          </w:tcPr>
          <w:p>
            <w:pPr>
              <w:rPr>
                <w:rFonts w:ascii="宋体" w:hAnsi="宋体"/>
                <w:szCs w:val="22"/>
              </w:rPr>
            </w:pPr>
            <w:r>
              <w:rPr>
                <w:rFonts w:hint="eastAsia" w:ascii="宋体" w:hAnsi="宋体"/>
                <w:szCs w:val="22"/>
              </w:rPr>
              <w:t>投标保证金：详见招标公告。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6" w:hRule="atLeast"/>
        </w:trPr>
        <w:tc>
          <w:tcPr>
            <w:tcW w:w="949" w:type="dxa"/>
            <w:vAlign w:val="center"/>
          </w:tcPr>
          <w:p>
            <w:pPr>
              <w:jc w:val="center"/>
              <w:rPr>
                <w:rFonts w:ascii="宋体" w:hAnsi="宋体"/>
                <w:sz w:val="24"/>
                <w:szCs w:val="24"/>
              </w:rPr>
            </w:pPr>
            <w:r>
              <w:rPr>
                <w:rFonts w:hint="eastAsia" w:ascii="宋体" w:hAnsi="宋体"/>
                <w:sz w:val="24"/>
                <w:szCs w:val="24"/>
              </w:rPr>
              <w:t>5</w:t>
            </w:r>
          </w:p>
        </w:tc>
        <w:tc>
          <w:tcPr>
            <w:tcW w:w="9159" w:type="dxa"/>
            <w:vAlign w:val="center"/>
          </w:tcPr>
          <w:p>
            <w:pPr>
              <w:rPr>
                <w:rFonts w:ascii="宋体" w:hAnsi="宋体"/>
                <w:szCs w:val="22"/>
              </w:rPr>
            </w:pPr>
            <w:r>
              <w:rPr>
                <w:rFonts w:hint="eastAsia" w:ascii="宋体" w:hAnsi="宋体"/>
                <w:szCs w:val="22"/>
              </w:rPr>
              <w:t>投标保证金有效期：投标截止日后30天</w:t>
            </w:r>
          </w:p>
          <w:p>
            <w:pPr>
              <w:rPr>
                <w:rFonts w:ascii="宋体" w:hAnsi="宋体"/>
                <w:szCs w:val="22"/>
              </w:rPr>
            </w:pPr>
            <w:r>
              <w:rPr>
                <w:rFonts w:hint="eastAsia" w:ascii="宋体" w:hAnsi="宋体"/>
                <w:szCs w:val="22"/>
              </w:rPr>
              <w:t xml:space="preserve">投标有效期：投标截止日后30天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949" w:type="dxa"/>
            <w:vAlign w:val="center"/>
          </w:tcPr>
          <w:p>
            <w:pPr>
              <w:jc w:val="center"/>
              <w:rPr>
                <w:rFonts w:ascii="宋体" w:hAnsi="宋体"/>
                <w:sz w:val="24"/>
                <w:szCs w:val="24"/>
              </w:rPr>
            </w:pPr>
            <w:r>
              <w:rPr>
                <w:rFonts w:hint="eastAsia" w:ascii="宋体" w:hAnsi="宋体"/>
                <w:sz w:val="24"/>
                <w:szCs w:val="24"/>
              </w:rPr>
              <w:t>6</w:t>
            </w:r>
          </w:p>
        </w:tc>
        <w:tc>
          <w:tcPr>
            <w:tcW w:w="9159" w:type="dxa"/>
            <w:vAlign w:val="center"/>
          </w:tcPr>
          <w:p>
            <w:pPr>
              <w:rPr>
                <w:rFonts w:ascii="宋体" w:hAnsi="宋体"/>
                <w:szCs w:val="22"/>
              </w:rPr>
            </w:pPr>
            <w:r>
              <w:rPr>
                <w:rFonts w:hint="eastAsia" w:ascii="宋体" w:hAnsi="宋体"/>
                <w:szCs w:val="22"/>
              </w:rPr>
              <w:t>时间：投标截止时间，逾期不受理</w:t>
            </w:r>
          </w:p>
          <w:p>
            <w:pPr>
              <w:rPr>
                <w:rFonts w:ascii="宋体" w:hAnsi="宋体"/>
                <w:szCs w:val="22"/>
              </w:rPr>
            </w:pPr>
            <w:r>
              <w:rPr>
                <w:rFonts w:hint="eastAsia" w:ascii="宋体" w:hAnsi="宋体"/>
                <w:szCs w:val="22"/>
              </w:rPr>
              <w:t>提出问题的方式：以书面形式递交采购人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949" w:type="dxa"/>
            <w:vAlign w:val="center"/>
          </w:tcPr>
          <w:p>
            <w:pPr>
              <w:rPr>
                <w:rFonts w:ascii="宋体" w:hAnsi="宋体"/>
                <w:szCs w:val="22"/>
              </w:rPr>
            </w:pPr>
            <w:r>
              <w:rPr>
                <w:rFonts w:hint="eastAsia" w:ascii="宋体" w:hAnsi="宋体"/>
                <w:szCs w:val="22"/>
              </w:rPr>
              <w:t>7</w:t>
            </w:r>
          </w:p>
        </w:tc>
        <w:tc>
          <w:tcPr>
            <w:tcW w:w="9159" w:type="dxa"/>
            <w:vAlign w:val="center"/>
          </w:tcPr>
          <w:p>
            <w:pPr>
              <w:rPr>
                <w:rFonts w:ascii="宋体" w:hAnsi="宋体"/>
                <w:szCs w:val="22"/>
              </w:rPr>
            </w:pPr>
            <w:r>
              <w:rPr>
                <w:rFonts w:hint="eastAsia" w:ascii="宋体" w:hAnsi="宋体"/>
                <w:szCs w:val="22"/>
              </w:rPr>
              <w:t>服务期限</w:t>
            </w:r>
          </w:p>
          <w:p>
            <w:pPr>
              <w:rPr>
                <w:rFonts w:ascii="宋体" w:hAnsi="宋体"/>
                <w:szCs w:val="22"/>
              </w:rPr>
            </w:pPr>
            <w:r>
              <w:rPr>
                <w:rFonts w:hint="eastAsia" w:ascii="宋体" w:hAnsi="宋体"/>
                <w:szCs w:val="22"/>
              </w:rPr>
              <w:t>服务期限：3年，采取1+1+1的形式，合同一年一签，年度考核合格后续签下年度服务合同。</w:t>
            </w:r>
          </w:p>
          <w:p>
            <w:pPr>
              <w:rPr>
                <w:rFonts w:ascii="宋体" w:hAnsi="宋体"/>
                <w:szCs w:val="22"/>
              </w:rPr>
            </w:pPr>
            <w:r>
              <w:rPr>
                <w:rFonts w:hint="eastAsia" w:ascii="宋体" w:hAnsi="宋体"/>
                <w:szCs w:val="22"/>
              </w:rPr>
              <w:t>付款条件：中标单位每月依据国家相关规定向招标人开具有效发票，招标人依据合同约定金额按月支付安保服务费用，消防安保服务过程中的扣分处罚金额直接从当月费用中扣除。</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trPr>
        <w:tc>
          <w:tcPr>
            <w:tcW w:w="949" w:type="dxa"/>
            <w:vAlign w:val="center"/>
          </w:tcPr>
          <w:p>
            <w:pPr>
              <w:rPr>
                <w:rFonts w:ascii="宋体" w:hAnsi="宋体"/>
                <w:szCs w:val="22"/>
              </w:rPr>
            </w:pPr>
            <w:r>
              <w:rPr>
                <w:rFonts w:hint="eastAsia" w:ascii="宋体" w:hAnsi="宋体"/>
                <w:szCs w:val="22"/>
              </w:rPr>
              <w:t>8</w:t>
            </w:r>
          </w:p>
        </w:tc>
        <w:tc>
          <w:tcPr>
            <w:tcW w:w="9159" w:type="dxa"/>
            <w:vAlign w:val="center"/>
          </w:tcPr>
          <w:p>
            <w:pPr>
              <w:rPr>
                <w:rFonts w:ascii="宋体" w:hAnsi="宋体"/>
                <w:szCs w:val="22"/>
              </w:rPr>
            </w:pPr>
            <w:r>
              <w:rPr>
                <w:rFonts w:hint="eastAsia" w:ascii="宋体" w:hAnsi="宋体"/>
                <w:szCs w:val="22"/>
              </w:rPr>
              <w:t>踏勘现场：请各投标人联系采购单位自行勘踏。</w:t>
            </w:r>
          </w:p>
          <w:p>
            <w:pPr>
              <w:rPr>
                <w:rFonts w:ascii="宋体" w:hAnsi="宋体"/>
                <w:szCs w:val="22"/>
              </w:rPr>
            </w:pPr>
            <w:r>
              <w:rPr>
                <w:rFonts w:hint="eastAsia" w:ascii="宋体" w:hAnsi="宋体"/>
                <w:szCs w:val="22"/>
              </w:rPr>
              <w:t>采购单位联系人：详见招标公告。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949" w:type="dxa"/>
            <w:vAlign w:val="center"/>
          </w:tcPr>
          <w:p>
            <w:pPr>
              <w:rPr>
                <w:rFonts w:ascii="宋体" w:hAnsi="宋体"/>
                <w:szCs w:val="22"/>
              </w:rPr>
            </w:pPr>
            <w:r>
              <w:rPr>
                <w:rFonts w:hint="eastAsia" w:ascii="宋体" w:hAnsi="宋体"/>
                <w:szCs w:val="22"/>
              </w:rPr>
              <w:t>9</w:t>
            </w:r>
          </w:p>
        </w:tc>
        <w:tc>
          <w:tcPr>
            <w:tcW w:w="9159" w:type="dxa"/>
            <w:vAlign w:val="center"/>
          </w:tcPr>
          <w:p>
            <w:pPr>
              <w:rPr>
                <w:rFonts w:ascii="宋体" w:hAnsi="宋体"/>
                <w:szCs w:val="22"/>
              </w:rPr>
            </w:pPr>
            <w:r>
              <w:rPr>
                <w:rFonts w:hint="eastAsia" w:ascii="宋体" w:hAnsi="宋体"/>
                <w:szCs w:val="22"/>
              </w:rPr>
              <w:t>正本份数：1份，副本份数：4份</w:t>
            </w:r>
          </w:p>
          <w:p>
            <w:pPr>
              <w:rPr>
                <w:rFonts w:ascii="宋体" w:hAnsi="宋体"/>
                <w:szCs w:val="22"/>
              </w:rPr>
            </w:pPr>
            <w:r>
              <w:rPr>
                <w:rFonts w:hint="eastAsia" w:ascii="宋体" w:hAnsi="宋体"/>
                <w:szCs w:val="22"/>
              </w:rPr>
              <w:t>（提倡简单胶装，没有特殊要求，不提倡彩印及硬壳装订）</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949" w:type="dxa"/>
            <w:vAlign w:val="center"/>
          </w:tcPr>
          <w:p>
            <w:pPr>
              <w:rPr>
                <w:rFonts w:ascii="宋体" w:hAnsi="宋体"/>
                <w:szCs w:val="22"/>
              </w:rPr>
            </w:pPr>
            <w:r>
              <w:rPr>
                <w:rFonts w:hint="eastAsia" w:ascii="宋体" w:hAnsi="宋体"/>
                <w:szCs w:val="22"/>
              </w:rPr>
              <w:t>10</w:t>
            </w:r>
          </w:p>
        </w:tc>
        <w:tc>
          <w:tcPr>
            <w:tcW w:w="9159" w:type="dxa"/>
            <w:vAlign w:val="center"/>
          </w:tcPr>
          <w:p>
            <w:pPr>
              <w:rPr>
                <w:rFonts w:ascii="宋体" w:hAnsi="宋体"/>
                <w:szCs w:val="22"/>
              </w:rPr>
            </w:pPr>
            <w:r>
              <w:rPr>
                <w:rFonts w:hint="eastAsia" w:ascii="宋体" w:hAnsi="宋体"/>
                <w:szCs w:val="22"/>
              </w:rPr>
              <w:t>注意事项：1、投标人应认真阅读本招标文件中的“评分标准”、“采购需求”。</w:t>
            </w:r>
          </w:p>
        </w:tc>
      </w:tr>
    </w:tbl>
    <w:p>
      <w:pPr>
        <w:rPr>
          <w:rFonts w:ascii="宋体" w:hAnsi="宋体"/>
          <w:szCs w:val="22"/>
        </w:rPr>
      </w:pPr>
      <w:bookmarkStart w:id="6" w:name="_Hlk450145192"/>
    </w:p>
    <w:p>
      <w:pPr>
        <w:pStyle w:val="3"/>
        <w:rPr>
          <w:rFonts w:ascii="宋体" w:hAnsi="宋体" w:eastAsia="宋体" w:cs="Arial"/>
          <w:sz w:val="24"/>
          <w:szCs w:val="24"/>
        </w:rPr>
      </w:pPr>
    </w:p>
    <w:p>
      <w:pPr>
        <w:pStyle w:val="4"/>
      </w:pPr>
    </w:p>
    <w:p>
      <w:pPr>
        <w:pStyle w:val="4"/>
      </w:pPr>
    </w:p>
    <w:p>
      <w:pPr>
        <w:pStyle w:val="4"/>
      </w:pPr>
    </w:p>
    <w:p>
      <w:pPr>
        <w:pStyle w:val="3"/>
        <w:jc w:val="both"/>
        <w:rPr>
          <w:rFonts w:ascii="Times New Roman" w:hAnsi="Times New Roman" w:eastAsia="宋体"/>
          <w:b w:val="0"/>
          <w:sz w:val="21"/>
        </w:rPr>
      </w:pPr>
      <w:r>
        <w:rPr>
          <w:rFonts w:hint="eastAsia" w:ascii="Times New Roman" w:hAnsi="Times New Roman" w:eastAsia="宋体"/>
          <w:b w:val="0"/>
          <w:sz w:val="21"/>
        </w:rPr>
        <w:t xml:space="preserve">、  </w:t>
      </w:r>
    </w:p>
    <w:p>
      <w:pPr>
        <w:pStyle w:val="4"/>
      </w:pPr>
    </w:p>
    <w:p>
      <w:pPr>
        <w:pStyle w:val="4"/>
      </w:pPr>
    </w:p>
    <w:p>
      <w:pPr>
        <w:pStyle w:val="2"/>
        <w:numPr>
          <w:ilvl w:val="0"/>
          <w:numId w:val="0"/>
        </w:numPr>
        <w:ind w:firstLine="1928" w:firstLineChars="600"/>
        <w:rPr>
          <w:rFonts w:ascii="宋体" w:hAnsi="宋体" w:eastAsia="宋体" w:cs="Arial"/>
          <w:b/>
          <w:bCs/>
          <w:sz w:val="32"/>
          <w:szCs w:val="32"/>
        </w:rPr>
      </w:pPr>
      <w:bookmarkStart w:id="7" w:name="_Toc23659"/>
      <w:r>
        <w:rPr>
          <w:rFonts w:hint="eastAsia" w:ascii="宋体" w:hAnsi="宋体" w:eastAsia="宋体" w:cs="Arial"/>
          <w:b/>
          <w:bCs/>
          <w:sz w:val="32"/>
          <w:szCs w:val="32"/>
        </w:rPr>
        <w:t>三、投标人须知</w:t>
      </w:r>
      <w:bookmarkEnd w:id="7"/>
    </w:p>
    <w:p>
      <w:pPr>
        <w:jc w:val="center"/>
        <w:outlineLvl w:val="1"/>
        <w:rPr>
          <w:rFonts w:ascii="宋体" w:hAnsi="宋体" w:cs="Arial"/>
          <w:b/>
          <w:sz w:val="24"/>
          <w:szCs w:val="24"/>
        </w:rPr>
      </w:pPr>
      <w:bookmarkStart w:id="8" w:name="_Toc15721"/>
      <w:r>
        <w:rPr>
          <w:rFonts w:hint="eastAsia" w:ascii="宋体" w:hAnsi="宋体" w:cs="Arial"/>
          <w:b/>
          <w:sz w:val="24"/>
          <w:szCs w:val="24"/>
        </w:rPr>
        <w:t>（一）、总  则</w:t>
      </w:r>
      <w:bookmarkEnd w:id="8"/>
    </w:p>
    <w:p>
      <w:pPr>
        <w:jc w:val="left"/>
        <w:rPr>
          <w:rFonts w:ascii="宋体" w:hAnsi="宋体" w:cs="Arial"/>
          <w:b/>
          <w:sz w:val="24"/>
          <w:szCs w:val="24"/>
        </w:rPr>
      </w:pPr>
      <w:r>
        <w:rPr>
          <w:rFonts w:hint="eastAsia" w:ascii="宋体" w:hAnsi="宋体" w:cs="Arial"/>
          <w:b/>
          <w:sz w:val="24"/>
          <w:szCs w:val="24"/>
        </w:rPr>
        <w:t>1、资金来源</w:t>
      </w:r>
    </w:p>
    <w:p>
      <w:pPr>
        <w:jc w:val="left"/>
        <w:rPr>
          <w:rFonts w:ascii="宋体" w:hAnsi="宋体" w:cs="Arial"/>
          <w:sz w:val="24"/>
          <w:szCs w:val="24"/>
        </w:rPr>
      </w:pPr>
      <w:r>
        <w:rPr>
          <w:rFonts w:hint="eastAsia" w:ascii="宋体" w:hAnsi="宋体" w:cs="Arial"/>
          <w:sz w:val="24"/>
          <w:szCs w:val="24"/>
        </w:rPr>
        <w:t>1.1自筹资金。</w:t>
      </w:r>
    </w:p>
    <w:p>
      <w:pPr>
        <w:jc w:val="left"/>
        <w:rPr>
          <w:rFonts w:ascii="宋体" w:hAnsi="宋体" w:cs="Arial"/>
          <w:sz w:val="24"/>
          <w:szCs w:val="24"/>
        </w:rPr>
      </w:pPr>
      <w:r>
        <w:rPr>
          <w:rFonts w:hint="eastAsia" w:ascii="宋体" w:hAnsi="宋体" w:cs="Arial"/>
          <w:sz w:val="24"/>
          <w:szCs w:val="24"/>
        </w:rPr>
        <w:t>1.2本次招标方式及投标人资质要求</w:t>
      </w:r>
    </w:p>
    <w:p>
      <w:pPr>
        <w:numPr>
          <w:ilvl w:val="0"/>
          <w:numId w:val="4"/>
        </w:numPr>
        <w:tabs>
          <w:tab w:val="left" w:pos="0"/>
        </w:tabs>
        <w:ind w:left="0" w:firstLine="0"/>
        <w:jc w:val="left"/>
        <w:rPr>
          <w:rFonts w:ascii="宋体" w:hAnsi="宋体" w:cs="Arial"/>
          <w:color w:val="000000"/>
          <w:sz w:val="24"/>
          <w:szCs w:val="24"/>
        </w:rPr>
      </w:pPr>
      <w:r>
        <w:rPr>
          <w:rFonts w:hint="eastAsia" w:ascii="宋体" w:hAnsi="宋体" w:cs="Arial"/>
          <w:color w:val="000000"/>
          <w:sz w:val="24"/>
          <w:szCs w:val="24"/>
        </w:rPr>
        <w:t>1.2.1 本次招标采取“投标人须知前附表”序号3规定的招标方式。</w:t>
      </w:r>
    </w:p>
    <w:p>
      <w:pPr>
        <w:jc w:val="left"/>
        <w:rPr>
          <w:rFonts w:ascii="宋体" w:hAnsi="宋体" w:cs="Arial"/>
          <w:color w:val="000000"/>
          <w:sz w:val="24"/>
          <w:szCs w:val="24"/>
        </w:rPr>
      </w:pPr>
      <w:r>
        <w:rPr>
          <w:rFonts w:hint="eastAsia" w:ascii="宋体" w:hAnsi="宋体" w:cs="Arial"/>
          <w:color w:val="000000"/>
          <w:sz w:val="24"/>
          <w:szCs w:val="24"/>
        </w:rPr>
        <w:t>1.2.2投标人资质要求：</w:t>
      </w:r>
      <w:r>
        <w:rPr>
          <w:rFonts w:hint="eastAsia" w:ascii="宋体" w:hAnsi="宋体" w:cs="Arial"/>
          <w:sz w:val="24"/>
          <w:szCs w:val="24"/>
        </w:rPr>
        <w:t>详见招标公告。</w:t>
      </w:r>
    </w:p>
    <w:p>
      <w:pPr>
        <w:jc w:val="left"/>
        <w:rPr>
          <w:rFonts w:ascii="宋体" w:hAnsi="宋体" w:cs="Arial"/>
          <w:b/>
          <w:sz w:val="24"/>
          <w:szCs w:val="24"/>
        </w:rPr>
      </w:pPr>
      <w:r>
        <w:rPr>
          <w:rFonts w:hint="eastAsia" w:ascii="宋体" w:hAnsi="宋体" w:cs="Arial"/>
          <w:b/>
          <w:sz w:val="24"/>
          <w:szCs w:val="24"/>
        </w:rPr>
        <w:t>2、投标费用</w:t>
      </w:r>
    </w:p>
    <w:p>
      <w:pPr>
        <w:jc w:val="left"/>
        <w:rPr>
          <w:rFonts w:ascii="宋体" w:hAnsi="宋体" w:cs="Arial"/>
          <w:color w:val="000000"/>
          <w:sz w:val="24"/>
          <w:szCs w:val="24"/>
        </w:rPr>
      </w:pPr>
      <w:r>
        <w:rPr>
          <w:rFonts w:hint="eastAsia" w:ascii="宋体" w:hAnsi="宋体" w:cs="Arial"/>
          <w:color w:val="000000"/>
          <w:sz w:val="24"/>
          <w:szCs w:val="24"/>
        </w:rPr>
        <w:t>2.1投标人必须自行承担所有与参加投标有关的费用。不论投标的结果如何，六安世立医院在任何情况下均无义务和责任承担这些费用。</w:t>
      </w:r>
    </w:p>
    <w:p>
      <w:pPr>
        <w:jc w:val="left"/>
        <w:rPr>
          <w:rFonts w:ascii="宋体" w:hAnsi="宋体" w:cs="Arial"/>
          <w:color w:val="000000"/>
          <w:sz w:val="24"/>
          <w:szCs w:val="24"/>
        </w:rPr>
      </w:pPr>
    </w:p>
    <w:p>
      <w:pPr>
        <w:jc w:val="center"/>
        <w:outlineLvl w:val="1"/>
        <w:rPr>
          <w:rFonts w:ascii="宋体" w:hAnsi="宋体" w:cs="Arial"/>
          <w:b/>
          <w:sz w:val="24"/>
          <w:szCs w:val="24"/>
        </w:rPr>
      </w:pPr>
      <w:bookmarkStart w:id="9" w:name="_Toc15787"/>
      <w:r>
        <w:rPr>
          <w:rFonts w:hint="eastAsia" w:ascii="宋体" w:hAnsi="宋体" w:cs="Arial"/>
          <w:b/>
          <w:sz w:val="24"/>
          <w:szCs w:val="24"/>
        </w:rPr>
        <w:t>(二)、招标文件</w:t>
      </w:r>
      <w:bookmarkEnd w:id="9"/>
    </w:p>
    <w:p>
      <w:pPr>
        <w:jc w:val="left"/>
        <w:rPr>
          <w:rFonts w:ascii="宋体" w:hAnsi="宋体" w:cs="Arial"/>
          <w:b/>
          <w:sz w:val="24"/>
          <w:szCs w:val="24"/>
        </w:rPr>
      </w:pPr>
      <w:r>
        <w:rPr>
          <w:rFonts w:hint="eastAsia" w:ascii="宋体" w:hAnsi="宋体" w:cs="Arial"/>
          <w:b/>
          <w:sz w:val="24"/>
          <w:szCs w:val="24"/>
        </w:rPr>
        <w:t>3、招标文件构成</w:t>
      </w:r>
    </w:p>
    <w:p>
      <w:pPr>
        <w:jc w:val="left"/>
        <w:rPr>
          <w:rFonts w:ascii="宋体" w:hAnsi="宋体" w:cs="Arial"/>
          <w:sz w:val="24"/>
          <w:szCs w:val="24"/>
        </w:rPr>
      </w:pPr>
      <w:r>
        <w:rPr>
          <w:rFonts w:hint="eastAsia" w:ascii="宋体" w:hAnsi="宋体" w:cs="Arial"/>
          <w:sz w:val="24"/>
          <w:szCs w:val="24"/>
        </w:rPr>
        <w:t>3.1招标文件包括：</w:t>
      </w:r>
    </w:p>
    <w:p>
      <w:pPr>
        <w:jc w:val="left"/>
        <w:rPr>
          <w:rFonts w:ascii="宋体" w:hAnsi="宋体" w:cs="Arial"/>
          <w:b/>
          <w:sz w:val="24"/>
          <w:szCs w:val="24"/>
        </w:rPr>
      </w:pPr>
      <w:r>
        <w:rPr>
          <w:rFonts w:hint="eastAsia" w:ascii="宋体" w:hAnsi="宋体" w:cs="Arial"/>
          <w:b/>
          <w:sz w:val="24"/>
          <w:szCs w:val="24"/>
        </w:rPr>
        <w:t>第一章</w:t>
      </w:r>
    </w:p>
    <w:p>
      <w:pPr>
        <w:jc w:val="left"/>
        <w:rPr>
          <w:rFonts w:ascii="宋体" w:hAnsi="宋体" w:cs="Arial"/>
          <w:sz w:val="24"/>
          <w:szCs w:val="24"/>
        </w:rPr>
      </w:pPr>
      <w:r>
        <w:rPr>
          <w:rFonts w:hint="eastAsia" w:ascii="宋体" w:hAnsi="宋体" w:cs="Arial"/>
          <w:sz w:val="24"/>
          <w:szCs w:val="24"/>
        </w:rPr>
        <w:t>一、招标公告</w:t>
      </w:r>
    </w:p>
    <w:p>
      <w:pPr>
        <w:tabs>
          <w:tab w:val="left" w:pos="420"/>
        </w:tabs>
        <w:jc w:val="left"/>
        <w:rPr>
          <w:rFonts w:ascii="宋体" w:hAnsi="宋体" w:cs="Arial"/>
          <w:sz w:val="24"/>
          <w:szCs w:val="24"/>
        </w:rPr>
      </w:pPr>
      <w:r>
        <w:rPr>
          <w:rFonts w:hint="eastAsia" w:ascii="宋体" w:hAnsi="宋体" w:cs="Arial"/>
          <w:sz w:val="24"/>
          <w:szCs w:val="24"/>
        </w:rPr>
        <w:t>二、投标人须知前附表</w:t>
      </w:r>
    </w:p>
    <w:p>
      <w:pPr>
        <w:tabs>
          <w:tab w:val="left" w:pos="1335"/>
        </w:tabs>
        <w:jc w:val="left"/>
        <w:rPr>
          <w:rFonts w:ascii="宋体" w:hAnsi="宋体" w:cs="Arial"/>
          <w:sz w:val="24"/>
          <w:szCs w:val="24"/>
        </w:rPr>
      </w:pPr>
      <w:r>
        <w:rPr>
          <w:rFonts w:hint="eastAsia" w:ascii="宋体" w:hAnsi="宋体" w:cs="Arial"/>
          <w:sz w:val="24"/>
          <w:szCs w:val="24"/>
        </w:rPr>
        <w:t>三、投标人须知</w:t>
      </w:r>
    </w:p>
    <w:p>
      <w:pPr>
        <w:tabs>
          <w:tab w:val="left" w:pos="1335"/>
        </w:tabs>
        <w:jc w:val="left"/>
        <w:rPr>
          <w:rFonts w:ascii="宋体" w:hAnsi="宋体" w:cs="Arial"/>
          <w:sz w:val="24"/>
          <w:szCs w:val="24"/>
        </w:rPr>
      </w:pPr>
      <w:r>
        <w:rPr>
          <w:rFonts w:hint="eastAsia" w:ascii="宋体" w:hAnsi="宋体" w:cs="Arial"/>
          <w:sz w:val="24"/>
          <w:szCs w:val="24"/>
        </w:rPr>
        <w:t>四、合同条款前附表</w:t>
      </w:r>
    </w:p>
    <w:p>
      <w:pPr>
        <w:tabs>
          <w:tab w:val="left" w:pos="1335"/>
        </w:tabs>
        <w:jc w:val="left"/>
        <w:rPr>
          <w:rFonts w:ascii="宋体" w:hAnsi="宋体" w:cs="Arial"/>
          <w:sz w:val="24"/>
          <w:szCs w:val="24"/>
        </w:rPr>
      </w:pPr>
      <w:r>
        <w:rPr>
          <w:rFonts w:hint="eastAsia" w:ascii="宋体" w:hAnsi="宋体" w:cs="Arial"/>
          <w:sz w:val="24"/>
          <w:szCs w:val="24"/>
        </w:rPr>
        <w:t>五、合同条款</w:t>
      </w:r>
    </w:p>
    <w:p>
      <w:pPr>
        <w:tabs>
          <w:tab w:val="left" w:pos="1335"/>
        </w:tabs>
        <w:jc w:val="left"/>
        <w:rPr>
          <w:rFonts w:ascii="宋体" w:hAnsi="宋体" w:cs="Arial"/>
          <w:sz w:val="24"/>
          <w:szCs w:val="24"/>
        </w:rPr>
      </w:pPr>
      <w:r>
        <w:rPr>
          <w:rFonts w:hint="eastAsia" w:ascii="宋体" w:hAnsi="宋体" w:cs="Arial"/>
          <w:sz w:val="24"/>
          <w:szCs w:val="24"/>
        </w:rPr>
        <w:t>六、合同格式</w:t>
      </w:r>
    </w:p>
    <w:p>
      <w:pPr>
        <w:tabs>
          <w:tab w:val="left" w:pos="1335"/>
        </w:tabs>
        <w:jc w:val="left"/>
        <w:rPr>
          <w:rFonts w:ascii="宋体" w:hAnsi="宋体" w:cs="Arial"/>
          <w:sz w:val="24"/>
          <w:szCs w:val="24"/>
        </w:rPr>
      </w:pPr>
      <w:r>
        <w:rPr>
          <w:rFonts w:hint="eastAsia" w:ascii="宋体" w:hAnsi="宋体" w:cs="Arial"/>
          <w:sz w:val="24"/>
          <w:szCs w:val="24"/>
        </w:rPr>
        <w:t>七、评分标准</w:t>
      </w:r>
    </w:p>
    <w:p>
      <w:pPr>
        <w:jc w:val="left"/>
        <w:rPr>
          <w:rFonts w:ascii="宋体" w:hAnsi="宋体" w:cs="Arial"/>
          <w:sz w:val="24"/>
          <w:szCs w:val="24"/>
        </w:rPr>
      </w:pPr>
      <w:r>
        <w:rPr>
          <w:rFonts w:hint="eastAsia" w:ascii="宋体" w:hAnsi="宋体" w:cs="Arial"/>
          <w:sz w:val="24"/>
          <w:szCs w:val="24"/>
        </w:rPr>
        <w:t>八、采购需求</w:t>
      </w:r>
    </w:p>
    <w:p>
      <w:pPr>
        <w:jc w:val="left"/>
        <w:rPr>
          <w:rFonts w:ascii="宋体" w:hAnsi="宋体" w:cs="Arial"/>
          <w:sz w:val="24"/>
          <w:szCs w:val="24"/>
        </w:rPr>
      </w:pPr>
      <w:r>
        <w:rPr>
          <w:rFonts w:hint="eastAsia" w:ascii="宋体" w:hAnsi="宋体" w:cs="Arial"/>
          <w:b/>
          <w:sz w:val="24"/>
          <w:szCs w:val="24"/>
        </w:rPr>
        <w:t>第二章</w:t>
      </w:r>
    </w:p>
    <w:p>
      <w:pPr>
        <w:jc w:val="left"/>
        <w:rPr>
          <w:rFonts w:ascii="宋体" w:hAnsi="宋体" w:cs="Arial"/>
          <w:sz w:val="24"/>
          <w:szCs w:val="24"/>
        </w:rPr>
      </w:pPr>
      <w:r>
        <w:rPr>
          <w:rFonts w:hint="eastAsia" w:ascii="宋体" w:hAnsi="宋体" w:cs="Arial"/>
          <w:sz w:val="24"/>
          <w:szCs w:val="24"/>
        </w:rPr>
        <w:t>一、投标函</w:t>
      </w:r>
    </w:p>
    <w:p>
      <w:pPr>
        <w:jc w:val="left"/>
        <w:rPr>
          <w:rFonts w:ascii="宋体" w:hAnsi="宋体" w:cs="Arial"/>
          <w:sz w:val="24"/>
          <w:szCs w:val="24"/>
        </w:rPr>
      </w:pPr>
      <w:r>
        <w:rPr>
          <w:rFonts w:hint="eastAsia" w:ascii="宋体" w:hAnsi="宋体" w:cs="Arial"/>
          <w:sz w:val="24"/>
          <w:szCs w:val="24"/>
        </w:rPr>
        <w:t>二、开标一览表</w:t>
      </w:r>
    </w:p>
    <w:p>
      <w:pPr>
        <w:jc w:val="left"/>
        <w:rPr>
          <w:rFonts w:ascii="宋体" w:hAnsi="宋体" w:cs="Arial"/>
          <w:sz w:val="24"/>
          <w:szCs w:val="24"/>
        </w:rPr>
      </w:pPr>
      <w:r>
        <w:rPr>
          <w:rFonts w:hint="eastAsia" w:ascii="宋体" w:hAnsi="宋体" w:cs="Arial"/>
          <w:sz w:val="24"/>
          <w:szCs w:val="24"/>
        </w:rPr>
        <w:t>三、投标报价表</w:t>
      </w:r>
    </w:p>
    <w:p>
      <w:pPr>
        <w:jc w:val="left"/>
        <w:rPr>
          <w:rFonts w:ascii="宋体" w:hAnsi="宋体" w:cs="Arial"/>
          <w:color w:val="000000"/>
          <w:sz w:val="24"/>
          <w:szCs w:val="24"/>
        </w:rPr>
      </w:pPr>
      <w:r>
        <w:rPr>
          <w:rFonts w:hint="eastAsia" w:ascii="宋体" w:hAnsi="宋体" w:cs="Arial"/>
          <w:color w:val="000000"/>
          <w:sz w:val="24"/>
          <w:szCs w:val="24"/>
        </w:rPr>
        <w:t>四、相关技术方案</w:t>
      </w:r>
    </w:p>
    <w:p>
      <w:pPr>
        <w:jc w:val="left"/>
        <w:rPr>
          <w:rFonts w:ascii="宋体" w:hAnsi="宋体" w:cs="Arial"/>
          <w:color w:val="000000"/>
          <w:sz w:val="24"/>
          <w:szCs w:val="24"/>
        </w:rPr>
      </w:pPr>
      <w:r>
        <w:rPr>
          <w:rFonts w:hint="eastAsia" w:ascii="宋体" w:hAnsi="宋体" w:cs="Arial"/>
          <w:color w:val="000000"/>
          <w:sz w:val="24"/>
          <w:szCs w:val="24"/>
        </w:rPr>
        <w:t>五、资格证明文件</w:t>
      </w:r>
    </w:p>
    <w:p>
      <w:pPr>
        <w:jc w:val="left"/>
        <w:rPr>
          <w:rFonts w:ascii="宋体" w:hAnsi="宋体" w:cs="Arial"/>
          <w:sz w:val="24"/>
          <w:szCs w:val="24"/>
        </w:rPr>
      </w:pPr>
      <w:r>
        <w:rPr>
          <w:rFonts w:hint="eastAsia" w:ascii="宋体" w:hAnsi="宋体" w:cs="Arial"/>
          <w:sz w:val="24"/>
          <w:szCs w:val="24"/>
        </w:rPr>
        <w:t>3.2 投标人应认真阅读和充分理解招标文件中所有的内容。如果投标没有满足招标文件的有关要求，其风险由投标人自行承担。</w:t>
      </w:r>
    </w:p>
    <w:p>
      <w:pPr>
        <w:jc w:val="left"/>
        <w:rPr>
          <w:rFonts w:ascii="宋体" w:hAnsi="宋体" w:cs="Arial"/>
          <w:b/>
          <w:sz w:val="24"/>
          <w:szCs w:val="24"/>
        </w:rPr>
      </w:pPr>
      <w:r>
        <w:rPr>
          <w:rFonts w:hint="eastAsia" w:ascii="宋体" w:hAnsi="宋体" w:cs="Arial"/>
          <w:b/>
          <w:sz w:val="24"/>
          <w:szCs w:val="24"/>
        </w:rPr>
        <w:t>4、招标文件的澄清</w:t>
      </w:r>
    </w:p>
    <w:p>
      <w:pPr>
        <w:jc w:val="left"/>
        <w:rPr>
          <w:rFonts w:ascii="宋体" w:hAnsi="宋体" w:cs="Arial"/>
          <w:sz w:val="24"/>
          <w:szCs w:val="24"/>
        </w:rPr>
      </w:pPr>
      <w:r>
        <w:rPr>
          <w:rFonts w:hint="eastAsia" w:ascii="宋体" w:hAnsi="宋体" w:cs="Arial"/>
          <w:sz w:val="24"/>
          <w:szCs w:val="24"/>
        </w:rPr>
        <w:t>4.1投标人有权要求世立医院对招标文件中的有关问题进行答疑、澄清。</w:t>
      </w:r>
    </w:p>
    <w:p>
      <w:pPr>
        <w:jc w:val="left"/>
        <w:rPr>
          <w:rFonts w:ascii="宋体" w:hAnsi="宋体" w:cs="Arial"/>
          <w:sz w:val="24"/>
          <w:szCs w:val="24"/>
        </w:rPr>
      </w:pPr>
      <w:r>
        <w:rPr>
          <w:rFonts w:hint="eastAsia" w:ascii="宋体" w:hAnsi="宋体" w:cs="Arial"/>
          <w:sz w:val="24"/>
          <w:szCs w:val="24"/>
        </w:rPr>
        <w:t>4.2投标人对招标文件如有疑问，应在本招标文件“投标人须知前附表”规定的时间、方式通知六安世立医院，采购单位对有必要答复的问题，在规定时间统一答复但不说明问题的来源。采购人认为无需答复的问题将不予答复。</w:t>
      </w:r>
    </w:p>
    <w:p>
      <w:pPr>
        <w:jc w:val="left"/>
        <w:rPr>
          <w:rFonts w:ascii="宋体" w:hAnsi="宋体" w:cs="Arial"/>
          <w:b/>
          <w:sz w:val="24"/>
          <w:szCs w:val="24"/>
        </w:rPr>
      </w:pPr>
      <w:r>
        <w:rPr>
          <w:rFonts w:hint="eastAsia" w:ascii="宋体" w:hAnsi="宋体" w:cs="Arial"/>
          <w:b/>
          <w:sz w:val="24"/>
          <w:szCs w:val="24"/>
        </w:rPr>
        <w:t>5、招标文件的修改</w:t>
      </w:r>
    </w:p>
    <w:p>
      <w:pPr>
        <w:jc w:val="left"/>
        <w:rPr>
          <w:rFonts w:ascii="宋体" w:hAnsi="宋体" w:cs="Arial"/>
          <w:b/>
          <w:sz w:val="24"/>
          <w:szCs w:val="24"/>
        </w:rPr>
      </w:pPr>
      <w:r>
        <w:rPr>
          <w:rFonts w:hint="eastAsia" w:ascii="宋体" w:hAnsi="宋体" w:cs="Arial"/>
          <w:sz w:val="24"/>
          <w:szCs w:val="24"/>
        </w:rPr>
        <w:t>5.1在某些情况下，采购人可能对招标文件进行修改。</w:t>
      </w:r>
    </w:p>
    <w:p>
      <w:pPr>
        <w:jc w:val="left"/>
        <w:rPr>
          <w:rFonts w:ascii="宋体" w:hAnsi="宋体" w:cs="Arial"/>
          <w:b/>
          <w:i/>
          <w:sz w:val="24"/>
          <w:szCs w:val="24"/>
        </w:rPr>
      </w:pPr>
      <w:r>
        <w:rPr>
          <w:rFonts w:hint="eastAsia" w:ascii="宋体" w:hAnsi="宋体" w:cs="Arial"/>
          <w:sz w:val="24"/>
          <w:szCs w:val="24"/>
        </w:rPr>
        <w:t>5.2 六安世立医院对投标人质疑的答复和对招标文件的修改，将以说明函的形式发布于“六安世立医院”</w:t>
      </w:r>
      <w:r>
        <w:rPr>
          <w:rFonts w:hint="eastAsia" w:ascii="宋体" w:hAnsi="宋体" w:cs="Arial"/>
          <w:bCs/>
          <w:sz w:val="24"/>
          <w:szCs w:val="24"/>
        </w:rPr>
        <w:t>（</w:t>
      </w:r>
      <w:r>
        <w:rPr>
          <w:rFonts w:hint="eastAsia" w:ascii="宋体" w:hAnsi="宋体"/>
          <w:b/>
          <w:sz w:val="24"/>
          <w:szCs w:val="24"/>
        </w:rPr>
        <w:t>http://www.laslyy.com/</w:t>
      </w:r>
      <w:r>
        <w:rPr>
          <w:rFonts w:hint="eastAsia" w:ascii="宋体" w:hAnsi="宋体" w:cs="Arial"/>
          <w:bCs/>
          <w:sz w:val="24"/>
          <w:szCs w:val="24"/>
        </w:rPr>
        <w:t>）</w:t>
      </w:r>
      <w:r>
        <w:rPr>
          <w:rFonts w:hint="eastAsia" w:ascii="宋体" w:hAnsi="宋体" w:cs="Arial"/>
          <w:sz w:val="24"/>
          <w:szCs w:val="24"/>
        </w:rPr>
        <w:t>，说明函是招标文件不可缺少的组成部分，对投标人具有约束力。投标人应自行上网查询，否则责任自负。</w:t>
      </w:r>
    </w:p>
    <w:p>
      <w:pPr>
        <w:jc w:val="left"/>
        <w:rPr>
          <w:rFonts w:ascii="宋体" w:hAnsi="宋体" w:cs="Arial"/>
          <w:b/>
          <w:i/>
          <w:sz w:val="24"/>
          <w:szCs w:val="24"/>
        </w:rPr>
      </w:pPr>
      <w:r>
        <w:rPr>
          <w:rFonts w:hint="eastAsia" w:ascii="宋体" w:hAnsi="宋体" w:cs="Arial"/>
          <w:sz w:val="24"/>
          <w:szCs w:val="24"/>
        </w:rPr>
        <w:t>5.3 为使投标人有充分时间对招标文件的修改部分进行研究或由于其他原因，六安世立医院可以决定延长投标截止日期，并以说明函的形式发布于“六安世立医院官网</w:t>
      </w:r>
    </w:p>
    <w:p>
      <w:pPr>
        <w:ind w:left="1365" w:hanging="735"/>
        <w:rPr>
          <w:rFonts w:ascii="宋体" w:hAnsi="宋体" w:cs="Arial"/>
          <w:sz w:val="24"/>
          <w:szCs w:val="24"/>
        </w:rPr>
      </w:pPr>
    </w:p>
    <w:p>
      <w:pPr>
        <w:jc w:val="center"/>
        <w:outlineLvl w:val="1"/>
        <w:rPr>
          <w:rFonts w:ascii="宋体" w:hAnsi="宋体" w:cs="Arial"/>
          <w:b/>
          <w:sz w:val="24"/>
          <w:szCs w:val="24"/>
        </w:rPr>
      </w:pPr>
      <w:bookmarkStart w:id="10" w:name="_Toc481"/>
      <w:r>
        <w:rPr>
          <w:rFonts w:hint="eastAsia" w:ascii="宋体" w:hAnsi="宋体" w:cs="Arial"/>
          <w:b/>
          <w:sz w:val="24"/>
          <w:szCs w:val="24"/>
        </w:rPr>
        <w:t>（三）、投标文件的编制</w:t>
      </w:r>
      <w:bookmarkEnd w:id="10"/>
    </w:p>
    <w:p>
      <w:pPr>
        <w:jc w:val="left"/>
        <w:rPr>
          <w:rFonts w:ascii="宋体" w:hAnsi="宋体" w:cs="Arial"/>
          <w:b/>
          <w:sz w:val="24"/>
          <w:szCs w:val="24"/>
        </w:rPr>
      </w:pPr>
      <w:r>
        <w:rPr>
          <w:rFonts w:hint="eastAsia" w:ascii="宋体" w:hAnsi="宋体" w:cs="Arial"/>
          <w:b/>
          <w:sz w:val="24"/>
          <w:szCs w:val="24"/>
        </w:rPr>
        <w:t>6、投标的语言及度量衡单位</w:t>
      </w:r>
    </w:p>
    <w:p>
      <w:pPr>
        <w:jc w:val="left"/>
        <w:rPr>
          <w:rFonts w:ascii="宋体" w:hAnsi="宋体" w:cs="Arial"/>
          <w:sz w:val="24"/>
          <w:szCs w:val="24"/>
        </w:rPr>
      </w:pPr>
      <w:r>
        <w:rPr>
          <w:rFonts w:hint="eastAsia" w:ascii="宋体" w:hAnsi="宋体" w:cs="Arial"/>
          <w:sz w:val="24"/>
          <w:szCs w:val="24"/>
        </w:rPr>
        <w:t>6.1 投标人的投标文件、以及投标人与六安世立医院就有关投标的所有来往函电均须使用中文。</w:t>
      </w:r>
    </w:p>
    <w:p>
      <w:pPr>
        <w:jc w:val="left"/>
        <w:rPr>
          <w:rFonts w:ascii="宋体" w:hAnsi="宋体" w:cs="Arial"/>
          <w:sz w:val="24"/>
          <w:szCs w:val="24"/>
        </w:rPr>
      </w:pPr>
      <w:r>
        <w:rPr>
          <w:rFonts w:hint="eastAsia" w:ascii="宋体" w:hAnsi="宋体" w:cs="Arial"/>
          <w:sz w:val="24"/>
          <w:szCs w:val="24"/>
        </w:rPr>
        <w:t>6.2 除技术要求中另有规定外，投标文件所使用的度量衡均须采用法定计量单位。</w:t>
      </w:r>
    </w:p>
    <w:p>
      <w:pPr>
        <w:jc w:val="left"/>
        <w:rPr>
          <w:rFonts w:ascii="宋体" w:hAnsi="宋体" w:cs="Arial"/>
          <w:b/>
          <w:sz w:val="24"/>
          <w:szCs w:val="24"/>
        </w:rPr>
      </w:pPr>
      <w:r>
        <w:rPr>
          <w:rFonts w:hint="eastAsia" w:ascii="宋体" w:hAnsi="宋体" w:cs="Arial"/>
          <w:b/>
          <w:sz w:val="24"/>
          <w:szCs w:val="24"/>
        </w:rPr>
        <w:t>7、投标文件构成</w:t>
      </w:r>
    </w:p>
    <w:p>
      <w:pPr>
        <w:jc w:val="left"/>
        <w:rPr>
          <w:rFonts w:ascii="宋体" w:hAnsi="宋体" w:cs="Arial"/>
          <w:sz w:val="24"/>
          <w:szCs w:val="24"/>
        </w:rPr>
      </w:pPr>
      <w:r>
        <w:rPr>
          <w:rFonts w:hint="eastAsia" w:ascii="宋体" w:hAnsi="宋体" w:cs="Arial"/>
          <w:sz w:val="24"/>
          <w:szCs w:val="24"/>
        </w:rPr>
        <w:t>7.1 投标文件应包括第3.1条第二章中所包括的全部内容。</w:t>
      </w:r>
    </w:p>
    <w:p>
      <w:pPr>
        <w:jc w:val="left"/>
        <w:rPr>
          <w:rFonts w:ascii="宋体" w:hAnsi="宋体" w:cs="Arial"/>
          <w:sz w:val="24"/>
          <w:szCs w:val="24"/>
        </w:rPr>
      </w:pPr>
      <w:r>
        <w:rPr>
          <w:rFonts w:hint="eastAsia" w:ascii="宋体" w:hAnsi="宋体" w:cs="Arial"/>
          <w:sz w:val="24"/>
          <w:szCs w:val="24"/>
        </w:rPr>
        <w:t>7.2 投标人必须对其投标文件的真实性与准确性负责。投标人一旦中标，其投标文件将作为合同的重要组成部分。</w:t>
      </w:r>
    </w:p>
    <w:p>
      <w:pPr>
        <w:jc w:val="left"/>
        <w:rPr>
          <w:rFonts w:ascii="宋体" w:hAnsi="宋体" w:cs="Arial"/>
          <w:sz w:val="24"/>
          <w:szCs w:val="24"/>
        </w:rPr>
      </w:pPr>
      <w:r>
        <w:rPr>
          <w:rFonts w:hint="eastAsia" w:ascii="宋体" w:hAnsi="宋体" w:cs="Arial"/>
          <w:sz w:val="24"/>
          <w:szCs w:val="24"/>
        </w:rPr>
        <w:t>7.3 投标人不得在未征得六安世立医院许可的情况下，擅自对招标文件的格式、条款和技术要求进行修改。否则，其投标文件在评标时有可能被认为是未对招标文件做出实质性的响应而终止对其作进一步的评审。</w:t>
      </w:r>
    </w:p>
    <w:p>
      <w:pPr>
        <w:jc w:val="left"/>
        <w:rPr>
          <w:rFonts w:ascii="新宋体" w:hAnsi="新宋体" w:eastAsia="新宋体" w:cs="新宋体"/>
          <w:b/>
          <w:sz w:val="24"/>
          <w:szCs w:val="24"/>
        </w:rPr>
      </w:pPr>
      <w:r>
        <w:rPr>
          <w:rFonts w:hint="eastAsia" w:ascii="新宋体" w:hAnsi="新宋体" w:eastAsia="新宋体" w:cs="新宋体"/>
          <w:b/>
          <w:sz w:val="24"/>
          <w:szCs w:val="24"/>
        </w:rPr>
        <w:t>8、投标文件构成</w:t>
      </w:r>
    </w:p>
    <w:p>
      <w:pPr>
        <w:jc w:val="left"/>
        <w:rPr>
          <w:rFonts w:ascii="新宋体" w:hAnsi="新宋体" w:eastAsia="新宋体" w:cs="新宋体"/>
          <w:sz w:val="24"/>
          <w:szCs w:val="24"/>
        </w:rPr>
      </w:pPr>
      <w:r>
        <w:rPr>
          <w:rFonts w:hint="eastAsia" w:ascii="新宋体" w:hAnsi="新宋体" w:eastAsia="新宋体" w:cs="新宋体"/>
          <w:sz w:val="24"/>
          <w:szCs w:val="24"/>
        </w:rPr>
        <w:t>8.1 投标文件应包括第4.1条第二章中所包括的全部内容。</w:t>
      </w:r>
    </w:p>
    <w:p>
      <w:pPr>
        <w:jc w:val="left"/>
        <w:rPr>
          <w:rFonts w:ascii="新宋体" w:hAnsi="新宋体" w:eastAsia="新宋体" w:cs="新宋体"/>
          <w:sz w:val="24"/>
          <w:szCs w:val="24"/>
        </w:rPr>
      </w:pPr>
      <w:r>
        <w:rPr>
          <w:rFonts w:hint="eastAsia" w:ascii="新宋体" w:hAnsi="新宋体" w:eastAsia="新宋体" w:cs="新宋体"/>
          <w:sz w:val="24"/>
          <w:szCs w:val="24"/>
        </w:rPr>
        <w:t>8.2 投标人必须对其投标文件的真实性与准确性负责。投标人一旦中标，其投标文件将作为合同的重要组成部分。</w:t>
      </w:r>
    </w:p>
    <w:p>
      <w:pPr>
        <w:jc w:val="left"/>
        <w:rPr>
          <w:rFonts w:ascii="新宋体" w:hAnsi="新宋体" w:eastAsia="新宋体" w:cs="新宋体"/>
          <w:sz w:val="24"/>
          <w:szCs w:val="24"/>
        </w:rPr>
      </w:pPr>
      <w:r>
        <w:rPr>
          <w:rFonts w:hint="eastAsia" w:ascii="新宋体" w:hAnsi="新宋体" w:eastAsia="新宋体" w:cs="新宋体"/>
          <w:sz w:val="24"/>
          <w:szCs w:val="24"/>
        </w:rPr>
        <w:t>8.3 投标人不得在未征得六安世立医院许可的情况下，擅自对招标文件的格式、条款和技术要求进行修改。否则，其投标文件在评标时有可能被认为是未对招标文件做出实质性的响应而终止对其作进一步的评审。</w:t>
      </w:r>
    </w:p>
    <w:p>
      <w:pPr>
        <w:jc w:val="left"/>
        <w:rPr>
          <w:rFonts w:ascii="新宋体" w:hAnsi="新宋体" w:eastAsia="新宋体" w:cs="新宋体"/>
          <w:b/>
          <w:sz w:val="24"/>
          <w:szCs w:val="24"/>
        </w:rPr>
      </w:pPr>
      <w:r>
        <w:rPr>
          <w:rFonts w:hint="eastAsia" w:ascii="新宋体" w:hAnsi="新宋体" w:eastAsia="新宋体" w:cs="新宋体"/>
          <w:b/>
          <w:sz w:val="24"/>
          <w:szCs w:val="24"/>
        </w:rPr>
        <w:t>9、投标报价</w:t>
      </w:r>
    </w:p>
    <w:p>
      <w:pPr>
        <w:widowControl/>
        <w:shd w:val="clear" w:color="auto" w:fill="FFFFFF"/>
        <w:spacing w:line="560" w:lineRule="exact"/>
        <w:ind w:firstLine="723" w:firstLineChars="300"/>
        <w:rPr>
          <w:rFonts w:ascii="宋体" w:hAnsi="宋体" w:cs="宋体"/>
          <w:color w:val="000000"/>
          <w:kern w:val="0"/>
          <w:sz w:val="24"/>
          <w:szCs w:val="24"/>
        </w:rPr>
      </w:pPr>
      <w:r>
        <w:rPr>
          <w:rFonts w:hint="eastAsia" w:ascii="宋体" w:hAnsi="宋体" w:cs="Arial"/>
          <w:b/>
          <w:color w:val="000000"/>
          <w:sz w:val="24"/>
          <w:szCs w:val="24"/>
        </w:rPr>
        <w:t>★本次招标采用投标方现场踏勘</w:t>
      </w:r>
      <w:r>
        <w:rPr>
          <w:rFonts w:hint="eastAsia" w:ascii="宋体" w:hAnsi="宋体" w:cs="宋体"/>
          <w:b/>
          <w:bCs/>
          <w:color w:val="000000"/>
          <w:kern w:val="0"/>
          <w:sz w:val="24"/>
          <w:szCs w:val="24"/>
        </w:rPr>
        <w:t>确定岗位人数并报价。</w:t>
      </w:r>
    </w:p>
    <w:p>
      <w:pPr>
        <w:spacing w:line="360" w:lineRule="auto"/>
        <w:jc w:val="left"/>
        <w:rPr>
          <w:rFonts w:ascii="新宋体" w:hAnsi="新宋体" w:eastAsia="新宋体" w:cs="新宋体"/>
          <w:b/>
          <w:sz w:val="24"/>
          <w:szCs w:val="24"/>
        </w:rPr>
      </w:pPr>
      <w:r>
        <w:rPr>
          <w:rFonts w:hint="eastAsia" w:ascii="新宋体" w:hAnsi="新宋体" w:eastAsia="新宋体" w:cs="新宋体"/>
          <w:b/>
          <w:sz w:val="24"/>
          <w:szCs w:val="24"/>
        </w:rPr>
        <w:t>10、报价依据和方式</w:t>
      </w:r>
    </w:p>
    <w:p>
      <w:pPr>
        <w:jc w:val="left"/>
        <w:rPr>
          <w:rFonts w:ascii="新宋体" w:hAnsi="新宋体" w:eastAsia="新宋体" w:cs="新宋体"/>
          <w:sz w:val="24"/>
          <w:szCs w:val="24"/>
        </w:rPr>
      </w:pPr>
      <w:r>
        <w:rPr>
          <w:rFonts w:hint="eastAsia" w:ascii="新宋体" w:hAnsi="新宋体" w:eastAsia="新宋体" w:cs="新宋体"/>
          <w:sz w:val="24"/>
          <w:szCs w:val="24"/>
        </w:rPr>
        <w:t>10.1.投标报价在合同执行期间是固定不变和不可变更的，不因市场变化因素而变动，招标人只以合同中的定价为准。</w:t>
      </w:r>
    </w:p>
    <w:p>
      <w:pPr>
        <w:jc w:val="left"/>
        <w:rPr>
          <w:rFonts w:ascii="新宋体" w:hAnsi="新宋体" w:eastAsia="新宋体" w:cs="新宋体"/>
          <w:b/>
          <w:sz w:val="24"/>
          <w:szCs w:val="24"/>
        </w:rPr>
      </w:pPr>
      <w:r>
        <w:rPr>
          <w:rFonts w:hint="eastAsia" w:ascii="新宋体" w:hAnsi="新宋体" w:eastAsia="新宋体" w:cs="新宋体"/>
          <w:b/>
          <w:sz w:val="24"/>
          <w:szCs w:val="24"/>
        </w:rPr>
        <w:t>11、证明投标人合格的资格文件</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11.1投标人在其投标文件中，应包括证明其有资格参加投标和中标后有能力履行合同的资质证明文件。  </w:t>
      </w:r>
    </w:p>
    <w:p>
      <w:pPr>
        <w:jc w:val="left"/>
        <w:rPr>
          <w:rFonts w:ascii="新宋体" w:hAnsi="新宋体" w:eastAsia="新宋体" w:cs="新宋体"/>
          <w:sz w:val="24"/>
          <w:szCs w:val="24"/>
        </w:rPr>
      </w:pPr>
      <w:r>
        <w:rPr>
          <w:rFonts w:hint="eastAsia" w:ascii="新宋体" w:hAnsi="新宋体" w:eastAsia="新宋体" w:cs="新宋体"/>
          <w:sz w:val="24"/>
          <w:szCs w:val="24"/>
        </w:rPr>
        <w:t>11.2投标人必须具有履行合同所必需的生产、技术、服务和财务管理等方面的能力。</w:t>
      </w:r>
    </w:p>
    <w:p>
      <w:pPr>
        <w:jc w:val="left"/>
        <w:rPr>
          <w:rFonts w:ascii="新宋体" w:hAnsi="新宋体" w:eastAsia="新宋体" w:cs="新宋体"/>
          <w:b/>
          <w:sz w:val="24"/>
          <w:szCs w:val="24"/>
        </w:rPr>
      </w:pPr>
      <w:r>
        <w:rPr>
          <w:rFonts w:hint="eastAsia" w:ascii="新宋体" w:hAnsi="新宋体" w:eastAsia="新宋体" w:cs="新宋体"/>
          <w:b/>
          <w:sz w:val="24"/>
          <w:szCs w:val="24"/>
        </w:rPr>
        <w:t>12、证明符合规定的文件</w:t>
      </w:r>
    </w:p>
    <w:p>
      <w:pPr>
        <w:jc w:val="left"/>
        <w:rPr>
          <w:rFonts w:ascii="新宋体" w:hAnsi="新宋体" w:eastAsia="新宋体" w:cs="新宋体"/>
          <w:sz w:val="24"/>
          <w:szCs w:val="24"/>
        </w:rPr>
      </w:pPr>
      <w:r>
        <w:rPr>
          <w:rFonts w:hint="eastAsia" w:ascii="新宋体" w:hAnsi="新宋体" w:eastAsia="新宋体" w:cs="新宋体"/>
          <w:sz w:val="24"/>
          <w:szCs w:val="24"/>
        </w:rPr>
        <w:t>12.1投标人应提交招标文件要求的证明文件，并作为其投标文件的一部分。</w:t>
      </w:r>
    </w:p>
    <w:p>
      <w:pPr>
        <w:jc w:val="left"/>
        <w:rPr>
          <w:rFonts w:ascii="新宋体" w:hAnsi="新宋体" w:eastAsia="新宋体" w:cs="新宋体"/>
          <w:b/>
          <w:sz w:val="24"/>
          <w:szCs w:val="24"/>
        </w:rPr>
      </w:pPr>
      <w:r>
        <w:rPr>
          <w:rFonts w:hint="eastAsia" w:ascii="新宋体" w:hAnsi="新宋体" w:eastAsia="新宋体" w:cs="新宋体"/>
          <w:b/>
          <w:sz w:val="24"/>
          <w:szCs w:val="24"/>
        </w:rPr>
        <w:t>13、投标保证金</w:t>
      </w:r>
    </w:p>
    <w:p>
      <w:pPr>
        <w:jc w:val="left"/>
        <w:rPr>
          <w:rFonts w:ascii="新宋体" w:hAnsi="新宋体" w:eastAsia="新宋体" w:cs="新宋体"/>
          <w:b/>
          <w:sz w:val="24"/>
          <w:szCs w:val="24"/>
        </w:rPr>
      </w:pPr>
      <w:r>
        <w:rPr>
          <w:rFonts w:hint="eastAsia" w:ascii="新宋体" w:hAnsi="新宋体" w:eastAsia="新宋体" w:cs="新宋体"/>
          <w:sz w:val="24"/>
          <w:szCs w:val="24"/>
        </w:rPr>
        <w:t>13.1 投标人投标时，必须以人民币提交投标人须知前附表中规定数额的投标保证金。六安世立医院和买方的利益在因投标人行为受到损害时，可根据第13.6条规定的条件从投标人的投标保证金中获得补偿。</w:t>
      </w:r>
    </w:p>
    <w:p>
      <w:pPr>
        <w:jc w:val="left"/>
        <w:rPr>
          <w:rFonts w:ascii="新宋体" w:hAnsi="新宋体" w:eastAsia="新宋体" w:cs="新宋体"/>
          <w:sz w:val="24"/>
          <w:szCs w:val="24"/>
        </w:rPr>
      </w:pPr>
      <w:r>
        <w:rPr>
          <w:rFonts w:hint="eastAsia" w:ascii="新宋体" w:hAnsi="新宋体" w:eastAsia="新宋体" w:cs="新宋体"/>
          <w:sz w:val="24"/>
          <w:szCs w:val="24"/>
        </w:rPr>
        <w:t>13.2 投标保证金采取形式：银行转账、网银支付。</w:t>
      </w:r>
    </w:p>
    <w:p>
      <w:pPr>
        <w:jc w:val="left"/>
        <w:rPr>
          <w:rFonts w:ascii="新宋体" w:hAnsi="新宋体" w:eastAsia="新宋体" w:cs="新宋体"/>
          <w:sz w:val="24"/>
          <w:szCs w:val="24"/>
        </w:rPr>
      </w:pPr>
      <w:r>
        <w:rPr>
          <w:rFonts w:hint="eastAsia" w:ascii="新宋体" w:hAnsi="新宋体" w:eastAsia="新宋体" w:cs="新宋体"/>
          <w:sz w:val="24"/>
          <w:szCs w:val="24"/>
        </w:rPr>
        <w:t>13.3 在开标时，对于未在投标截止时间前提交投标保证金的投标，六安世立医院将视其为对招标文件未做出实质性响应而予以拒绝。</w:t>
      </w:r>
    </w:p>
    <w:p>
      <w:pPr>
        <w:jc w:val="left"/>
        <w:rPr>
          <w:rFonts w:ascii="新宋体" w:hAnsi="新宋体" w:eastAsia="新宋体" w:cs="新宋体"/>
          <w:sz w:val="24"/>
          <w:szCs w:val="24"/>
        </w:rPr>
      </w:pPr>
      <w:r>
        <w:rPr>
          <w:rFonts w:hint="eastAsia" w:ascii="新宋体" w:hAnsi="新宋体" w:eastAsia="新宋体" w:cs="新宋体"/>
          <w:sz w:val="24"/>
          <w:szCs w:val="24"/>
        </w:rPr>
        <w:t>13.4 未中标人的投标保证金，将按照第14条规定的投标有效期或经投标人同意的延长投标有效期内予以退还。</w:t>
      </w:r>
    </w:p>
    <w:p>
      <w:pPr>
        <w:jc w:val="left"/>
        <w:rPr>
          <w:rFonts w:ascii="新宋体" w:hAnsi="新宋体" w:eastAsia="新宋体" w:cs="新宋体"/>
          <w:sz w:val="24"/>
          <w:szCs w:val="24"/>
        </w:rPr>
      </w:pPr>
      <w:r>
        <w:rPr>
          <w:rFonts w:hint="eastAsia" w:ascii="新宋体" w:hAnsi="新宋体" w:eastAsia="新宋体" w:cs="新宋体"/>
          <w:sz w:val="24"/>
          <w:szCs w:val="24"/>
        </w:rPr>
        <w:t>13.5 中标人的投标保证金，将在中标人按第28条规定签订合同，并按第27条规定交纳履约保证金后予以退还。</w:t>
      </w:r>
    </w:p>
    <w:p>
      <w:pPr>
        <w:jc w:val="left"/>
        <w:rPr>
          <w:rFonts w:ascii="新宋体" w:hAnsi="新宋体" w:eastAsia="新宋体" w:cs="新宋体"/>
          <w:sz w:val="24"/>
          <w:szCs w:val="24"/>
        </w:rPr>
      </w:pPr>
      <w:r>
        <w:rPr>
          <w:rFonts w:hint="eastAsia" w:ascii="新宋体" w:hAnsi="新宋体" w:eastAsia="新宋体" w:cs="新宋体"/>
          <w:sz w:val="24"/>
          <w:szCs w:val="24"/>
        </w:rPr>
        <w:t>13.6下列任何情况发生时，投标人将不得要求六安世立医院退还其投标保证金：</w:t>
      </w:r>
    </w:p>
    <w:p>
      <w:pPr>
        <w:ind w:firstLine="240" w:firstLineChars="100"/>
        <w:jc w:val="left"/>
        <w:rPr>
          <w:rFonts w:ascii="新宋体" w:hAnsi="新宋体" w:eastAsia="新宋体" w:cs="新宋体"/>
          <w:sz w:val="24"/>
          <w:szCs w:val="24"/>
        </w:rPr>
      </w:pPr>
      <w:r>
        <w:rPr>
          <w:rFonts w:hint="eastAsia" w:ascii="新宋体" w:hAnsi="新宋体" w:eastAsia="新宋体" w:cs="新宋体"/>
          <w:sz w:val="24"/>
          <w:szCs w:val="24"/>
        </w:rPr>
        <w:t>A. 投标人在投标函格式中规定的有效期内撤回其投标；</w:t>
      </w:r>
    </w:p>
    <w:p>
      <w:pPr>
        <w:ind w:firstLine="240" w:firstLineChars="100"/>
        <w:jc w:val="left"/>
        <w:rPr>
          <w:rFonts w:ascii="新宋体" w:hAnsi="新宋体" w:eastAsia="新宋体" w:cs="新宋体"/>
          <w:sz w:val="24"/>
          <w:szCs w:val="24"/>
        </w:rPr>
      </w:pPr>
      <w:r>
        <w:rPr>
          <w:rFonts w:hint="eastAsia" w:ascii="新宋体" w:hAnsi="新宋体" w:eastAsia="新宋体" w:cs="新宋体"/>
          <w:sz w:val="24"/>
          <w:szCs w:val="24"/>
        </w:rPr>
        <w:t>B. 中标人在规定期限内未能：根据第28条规定签订合同；或根据第27条规定交纳履约保证金。</w:t>
      </w:r>
    </w:p>
    <w:p>
      <w:pPr>
        <w:jc w:val="left"/>
        <w:rPr>
          <w:rFonts w:ascii="新宋体" w:hAnsi="新宋体" w:eastAsia="新宋体" w:cs="新宋体"/>
          <w:b/>
          <w:sz w:val="24"/>
          <w:szCs w:val="24"/>
        </w:rPr>
      </w:pPr>
      <w:r>
        <w:rPr>
          <w:rFonts w:hint="eastAsia" w:ascii="新宋体" w:hAnsi="新宋体" w:eastAsia="新宋体" w:cs="新宋体"/>
          <w:b/>
          <w:sz w:val="24"/>
          <w:szCs w:val="24"/>
        </w:rPr>
        <w:t>14、投标有效期</w:t>
      </w:r>
    </w:p>
    <w:p>
      <w:pPr>
        <w:jc w:val="left"/>
        <w:rPr>
          <w:rFonts w:ascii="新宋体" w:hAnsi="新宋体" w:eastAsia="新宋体" w:cs="新宋体"/>
          <w:sz w:val="24"/>
          <w:szCs w:val="24"/>
        </w:rPr>
      </w:pPr>
      <w:r>
        <w:rPr>
          <w:rFonts w:hint="eastAsia" w:ascii="新宋体" w:hAnsi="新宋体" w:eastAsia="新宋体" w:cs="新宋体"/>
          <w:sz w:val="24"/>
          <w:szCs w:val="24"/>
        </w:rPr>
        <w:t>14.1 投标有效期在“投标人须知前附表”序号5中有明确的规定。投标人承诺的投标有效期短于此规定时间的，将被视为非响应性投标而予以拒绝。</w:t>
      </w:r>
    </w:p>
    <w:p>
      <w:pPr>
        <w:jc w:val="left"/>
        <w:rPr>
          <w:rFonts w:ascii="新宋体" w:hAnsi="新宋体" w:eastAsia="新宋体" w:cs="新宋体"/>
          <w:sz w:val="24"/>
          <w:szCs w:val="24"/>
        </w:rPr>
      </w:pPr>
      <w:r>
        <w:rPr>
          <w:rFonts w:hint="eastAsia" w:ascii="新宋体" w:hAnsi="新宋体" w:eastAsia="新宋体" w:cs="新宋体"/>
          <w:sz w:val="24"/>
          <w:szCs w:val="24"/>
        </w:rPr>
        <w:t>14.2 在特殊情况下，六安世立医院可于原投标有效期满之前，向投标人提出延长投标有效期的要求。这种要求与答复均采用书面形式如传真、信件或电报等。投标人可以拒绝六安世立医院的这种要求而不失去其投标保证金。同意延长的投标人既不能要求也不允许修改其投标文件。第13条的有关投标保证金的规定，在延长的投标有效期内继续有效。</w:t>
      </w:r>
    </w:p>
    <w:p>
      <w:pPr>
        <w:jc w:val="left"/>
        <w:rPr>
          <w:rFonts w:ascii="新宋体" w:hAnsi="新宋体" w:eastAsia="新宋体" w:cs="新宋体"/>
          <w:b/>
          <w:sz w:val="24"/>
          <w:szCs w:val="24"/>
        </w:rPr>
      </w:pPr>
      <w:r>
        <w:rPr>
          <w:rFonts w:hint="eastAsia" w:ascii="新宋体" w:hAnsi="新宋体" w:eastAsia="新宋体" w:cs="新宋体"/>
          <w:b/>
          <w:sz w:val="24"/>
          <w:szCs w:val="24"/>
        </w:rPr>
        <w:t>15、投标文件份数和签署</w:t>
      </w:r>
    </w:p>
    <w:p>
      <w:pPr>
        <w:jc w:val="left"/>
        <w:rPr>
          <w:rFonts w:ascii="新宋体" w:hAnsi="新宋体" w:eastAsia="新宋体" w:cs="新宋体"/>
          <w:sz w:val="24"/>
          <w:szCs w:val="24"/>
        </w:rPr>
      </w:pPr>
      <w:r>
        <w:rPr>
          <w:rFonts w:hint="eastAsia" w:ascii="新宋体" w:hAnsi="新宋体" w:eastAsia="新宋体" w:cs="新宋体"/>
          <w:sz w:val="24"/>
          <w:szCs w:val="24"/>
        </w:rPr>
        <w:t>15.1投标人应准备投标人须知前附表序号9规定份数的投标文件。每份投标文件须清楚地标明“正本”或“副本”字样，正本与副本必须一致；若正本与副本不一致，以正本为准。</w:t>
      </w:r>
    </w:p>
    <w:p>
      <w:pPr>
        <w:jc w:val="left"/>
        <w:rPr>
          <w:rFonts w:ascii="新宋体" w:hAnsi="新宋体" w:eastAsia="新宋体" w:cs="新宋体"/>
          <w:sz w:val="24"/>
          <w:szCs w:val="24"/>
        </w:rPr>
      </w:pPr>
      <w:r>
        <w:rPr>
          <w:rFonts w:hint="eastAsia" w:ascii="新宋体" w:hAnsi="新宋体" w:eastAsia="新宋体" w:cs="新宋体"/>
          <w:sz w:val="24"/>
          <w:szCs w:val="24"/>
        </w:rPr>
        <w:t>15.2 投标文件的正本需打印，副本可由正本复印，但须按招标文件要求加盖投标人公章。</w:t>
      </w:r>
    </w:p>
    <w:p>
      <w:pPr>
        <w:jc w:val="left"/>
        <w:rPr>
          <w:rFonts w:ascii="新宋体" w:hAnsi="新宋体" w:eastAsia="新宋体" w:cs="新宋体"/>
          <w:sz w:val="24"/>
          <w:szCs w:val="24"/>
        </w:rPr>
      </w:pPr>
      <w:r>
        <w:rPr>
          <w:rFonts w:hint="eastAsia" w:ascii="新宋体" w:hAnsi="新宋体" w:eastAsia="新宋体" w:cs="新宋体"/>
          <w:sz w:val="24"/>
          <w:szCs w:val="24"/>
        </w:rPr>
        <w:t>15.3投标文件不得行间插字、涂改或增删。如有修改错漏处，必须由投标人的法定代表人或其授权代表签字和盖章。</w:t>
      </w:r>
    </w:p>
    <w:p>
      <w:pPr>
        <w:jc w:val="left"/>
        <w:rPr>
          <w:rFonts w:ascii="新宋体" w:hAnsi="新宋体" w:eastAsia="新宋体" w:cs="新宋体"/>
          <w:sz w:val="24"/>
          <w:szCs w:val="24"/>
        </w:rPr>
      </w:pPr>
    </w:p>
    <w:p>
      <w:pPr>
        <w:jc w:val="center"/>
        <w:outlineLvl w:val="1"/>
        <w:rPr>
          <w:rFonts w:ascii="新宋体" w:hAnsi="新宋体" w:eastAsia="新宋体" w:cs="新宋体"/>
          <w:b/>
          <w:sz w:val="24"/>
          <w:szCs w:val="24"/>
        </w:rPr>
      </w:pPr>
      <w:bookmarkStart w:id="11" w:name="_Toc6716"/>
      <w:r>
        <w:rPr>
          <w:rFonts w:hint="eastAsia" w:ascii="新宋体" w:hAnsi="新宋体" w:eastAsia="新宋体" w:cs="新宋体"/>
          <w:b/>
          <w:sz w:val="24"/>
          <w:szCs w:val="24"/>
        </w:rPr>
        <w:t>（四）投标文件的递交</w:t>
      </w:r>
      <w:bookmarkEnd w:id="11"/>
    </w:p>
    <w:p>
      <w:pPr>
        <w:jc w:val="left"/>
        <w:rPr>
          <w:rFonts w:ascii="新宋体" w:hAnsi="新宋体" w:eastAsia="新宋体" w:cs="新宋体"/>
          <w:b/>
          <w:sz w:val="24"/>
          <w:szCs w:val="24"/>
        </w:rPr>
      </w:pPr>
      <w:r>
        <w:rPr>
          <w:rFonts w:hint="eastAsia" w:ascii="新宋体" w:hAnsi="新宋体" w:eastAsia="新宋体" w:cs="新宋体"/>
          <w:b/>
          <w:sz w:val="24"/>
          <w:szCs w:val="24"/>
        </w:rPr>
        <w:t>16、投标文件的密封和标记</w:t>
      </w:r>
    </w:p>
    <w:p>
      <w:pPr>
        <w:jc w:val="left"/>
        <w:rPr>
          <w:rFonts w:ascii="新宋体" w:hAnsi="新宋体" w:eastAsia="新宋体" w:cs="新宋体"/>
          <w:sz w:val="24"/>
          <w:szCs w:val="24"/>
        </w:rPr>
      </w:pPr>
      <w:r>
        <w:rPr>
          <w:rFonts w:hint="eastAsia" w:ascii="新宋体" w:hAnsi="新宋体" w:eastAsia="新宋体" w:cs="新宋体"/>
          <w:sz w:val="24"/>
          <w:szCs w:val="24"/>
        </w:rPr>
        <w:t>16.1投标文件应装订成册并封装，投标人需将正本单独封装，全部副本一起封装，且在投标文件的右上角标明“正本”或“副本”的字样。投标文件封口处应加盖投标人公章；非胶装成册的按废标处理。</w:t>
      </w:r>
    </w:p>
    <w:p>
      <w:pPr>
        <w:jc w:val="left"/>
        <w:rPr>
          <w:rFonts w:ascii="新宋体" w:hAnsi="新宋体" w:eastAsia="新宋体" w:cs="新宋体"/>
          <w:sz w:val="24"/>
          <w:szCs w:val="24"/>
        </w:rPr>
      </w:pPr>
      <w:r>
        <w:rPr>
          <w:rFonts w:hint="eastAsia" w:ascii="新宋体" w:hAnsi="新宋体" w:eastAsia="新宋体" w:cs="新宋体"/>
          <w:sz w:val="24"/>
          <w:szCs w:val="24"/>
        </w:rPr>
        <w:t>16.2 密封袋均应注明：项目名称、招标编号、所投包号、投标人名称、正本或副本及“请勿在</w:t>
      </w:r>
      <w:r>
        <w:rPr>
          <w:rFonts w:hint="eastAsia" w:ascii="新宋体" w:hAnsi="新宋体" w:eastAsia="新宋体" w:cs="新宋体"/>
          <w:color w:val="000000"/>
          <w:kern w:val="0"/>
          <w:sz w:val="24"/>
          <w:szCs w:val="24"/>
        </w:rPr>
        <w:t>：201</w:t>
      </w:r>
      <w:r>
        <w:rPr>
          <w:rFonts w:hint="eastAsia" w:ascii="新宋体" w:hAnsi="新宋体" w:eastAsia="新宋体" w:cs="新宋体"/>
          <w:color w:val="000000" w:themeColor="text1"/>
          <w:kern w:val="0"/>
          <w:sz w:val="24"/>
          <w:szCs w:val="24"/>
        </w:rPr>
        <w:t>9</w:t>
      </w:r>
      <w:r>
        <w:rPr>
          <w:rFonts w:hint="eastAsia" w:ascii="新宋体" w:hAnsi="新宋体" w:eastAsia="新宋体" w:cs="新宋体"/>
          <w:color w:val="000000"/>
          <w:kern w:val="0"/>
          <w:sz w:val="24"/>
          <w:szCs w:val="24"/>
        </w:rPr>
        <w:t>年6月</w:t>
      </w:r>
      <w:r>
        <w:rPr>
          <w:rFonts w:hint="eastAsia" w:ascii="新宋体" w:hAnsi="新宋体" w:eastAsia="新宋体" w:cs="新宋体"/>
          <w:color w:val="000000"/>
          <w:kern w:val="0"/>
          <w:sz w:val="24"/>
          <w:szCs w:val="24"/>
          <w:lang w:val="en-US" w:eastAsia="zh-CN"/>
        </w:rPr>
        <w:t>10</w:t>
      </w:r>
      <w:bookmarkStart w:id="40" w:name="_GoBack"/>
      <w:bookmarkEnd w:id="40"/>
      <w:r>
        <w:rPr>
          <w:rFonts w:hint="eastAsia" w:ascii="新宋体" w:hAnsi="新宋体" w:eastAsia="新宋体" w:cs="新宋体"/>
          <w:color w:val="000000"/>
          <w:kern w:val="0"/>
          <w:sz w:val="24"/>
          <w:szCs w:val="24"/>
        </w:rPr>
        <w:t>日</w:t>
      </w:r>
      <w:r>
        <w:rPr>
          <w:rFonts w:hint="eastAsia" w:ascii="新宋体" w:hAnsi="新宋体" w:eastAsia="新宋体" w:cs="新宋体"/>
          <w:sz w:val="24"/>
          <w:szCs w:val="24"/>
        </w:rPr>
        <w:t>（开标时间详见招标公告）之前启封”的字样。</w:t>
      </w:r>
    </w:p>
    <w:p>
      <w:pPr>
        <w:jc w:val="left"/>
        <w:rPr>
          <w:rFonts w:ascii="新宋体" w:hAnsi="新宋体" w:eastAsia="新宋体" w:cs="新宋体"/>
          <w:sz w:val="24"/>
          <w:szCs w:val="24"/>
        </w:rPr>
      </w:pPr>
      <w:r>
        <w:rPr>
          <w:rFonts w:hint="eastAsia" w:ascii="新宋体" w:hAnsi="新宋体" w:eastAsia="新宋体" w:cs="新宋体"/>
          <w:sz w:val="24"/>
          <w:szCs w:val="24"/>
        </w:rPr>
        <w:t>16.3投标文件须独立装订、封装，否则投标无效。</w:t>
      </w:r>
    </w:p>
    <w:p>
      <w:pPr>
        <w:jc w:val="left"/>
        <w:rPr>
          <w:rFonts w:ascii="新宋体" w:hAnsi="新宋体" w:eastAsia="新宋体" w:cs="新宋体"/>
          <w:sz w:val="24"/>
          <w:szCs w:val="24"/>
        </w:rPr>
      </w:pPr>
      <w:r>
        <w:rPr>
          <w:rFonts w:hint="eastAsia" w:ascii="新宋体" w:hAnsi="新宋体" w:eastAsia="新宋体" w:cs="新宋体"/>
          <w:sz w:val="24"/>
          <w:szCs w:val="24"/>
        </w:rPr>
        <w:t>16.4如果未按规定封装或加写标记，采购中心将不承担投标文件错放或提前开封的责任，并可能导致投标无效。</w:t>
      </w:r>
    </w:p>
    <w:p>
      <w:pPr>
        <w:jc w:val="left"/>
        <w:rPr>
          <w:rFonts w:ascii="新宋体" w:hAnsi="新宋体" w:eastAsia="新宋体" w:cs="新宋体"/>
          <w:b/>
          <w:sz w:val="24"/>
          <w:szCs w:val="24"/>
        </w:rPr>
      </w:pPr>
      <w:r>
        <w:rPr>
          <w:rFonts w:hint="eastAsia" w:ascii="新宋体" w:hAnsi="新宋体" w:eastAsia="新宋体" w:cs="新宋体"/>
          <w:b/>
          <w:sz w:val="24"/>
          <w:szCs w:val="24"/>
        </w:rPr>
        <w:t>备注：为节约成本避免浪费，我院提倡简单胶装，没特殊要求，不提倡彩印及硬壳胶装。</w:t>
      </w:r>
    </w:p>
    <w:p>
      <w:pPr>
        <w:jc w:val="left"/>
        <w:rPr>
          <w:rFonts w:ascii="新宋体" w:hAnsi="新宋体" w:eastAsia="新宋体" w:cs="新宋体"/>
          <w:b/>
          <w:sz w:val="24"/>
          <w:szCs w:val="24"/>
        </w:rPr>
      </w:pPr>
      <w:r>
        <w:rPr>
          <w:rFonts w:hint="eastAsia" w:ascii="新宋体" w:hAnsi="新宋体" w:eastAsia="新宋体" w:cs="新宋体"/>
          <w:b/>
          <w:sz w:val="24"/>
          <w:szCs w:val="24"/>
        </w:rPr>
        <w:t>17、迟交的投标文件</w:t>
      </w:r>
    </w:p>
    <w:p>
      <w:pPr>
        <w:jc w:val="left"/>
        <w:rPr>
          <w:rFonts w:ascii="新宋体" w:hAnsi="新宋体" w:eastAsia="新宋体" w:cs="新宋体"/>
          <w:sz w:val="24"/>
          <w:szCs w:val="24"/>
        </w:rPr>
      </w:pPr>
      <w:r>
        <w:rPr>
          <w:rFonts w:hint="eastAsia" w:ascii="新宋体" w:hAnsi="新宋体" w:eastAsia="新宋体" w:cs="新宋体"/>
          <w:sz w:val="24"/>
          <w:szCs w:val="24"/>
        </w:rPr>
        <w:t>17.1六安世立医院将拒绝迟交的标书并原封退回。</w:t>
      </w:r>
    </w:p>
    <w:p>
      <w:pPr>
        <w:jc w:val="left"/>
        <w:rPr>
          <w:rFonts w:ascii="新宋体" w:hAnsi="新宋体" w:eastAsia="新宋体" w:cs="新宋体"/>
          <w:b/>
          <w:sz w:val="24"/>
          <w:szCs w:val="24"/>
        </w:rPr>
      </w:pPr>
      <w:r>
        <w:rPr>
          <w:rFonts w:hint="eastAsia" w:ascii="新宋体" w:hAnsi="新宋体" w:eastAsia="新宋体" w:cs="新宋体"/>
          <w:b/>
          <w:sz w:val="24"/>
          <w:szCs w:val="24"/>
        </w:rPr>
        <w:t>18、投标文件的修改和撤回</w:t>
      </w:r>
    </w:p>
    <w:p>
      <w:pPr>
        <w:jc w:val="left"/>
        <w:rPr>
          <w:rFonts w:ascii="新宋体" w:hAnsi="新宋体" w:eastAsia="新宋体" w:cs="新宋体"/>
          <w:sz w:val="24"/>
          <w:szCs w:val="24"/>
        </w:rPr>
      </w:pPr>
      <w:r>
        <w:rPr>
          <w:rFonts w:hint="eastAsia" w:ascii="新宋体" w:hAnsi="新宋体" w:eastAsia="新宋体" w:cs="新宋体"/>
          <w:sz w:val="24"/>
          <w:szCs w:val="24"/>
        </w:rPr>
        <w:t>18.1 投标人在递交投标文件后，可以在规定的投标截止时间前修改或撤回其投标文件。但这种修改和撤回，必须以书面形式通知六安世立医院。</w:t>
      </w:r>
    </w:p>
    <w:p>
      <w:pPr>
        <w:jc w:val="left"/>
        <w:rPr>
          <w:rFonts w:ascii="新宋体" w:hAnsi="新宋体" w:eastAsia="新宋体" w:cs="新宋体"/>
          <w:sz w:val="24"/>
          <w:szCs w:val="24"/>
        </w:rPr>
      </w:pPr>
      <w:r>
        <w:rPr>
          <w:rFonts w:hint="eastAsia" w:ascii="新宋体" w:hAnsi="新宋体" w:eastAsia="新宋体" w:cs="新宋体"/>
          <w:sz w:val="24"/>
          <w:szCs w:val="24"/>
        </w:rPr>
        <w:t>18.2 投标人的修改书或撤回通知书，应由法定代表人或其授权代表签署，并按第16条的规定进行密封、标记和发送。</w:t>
      </w:r>
    </w:p>
    <w:p>
      <w:pPr>
        <w:jc w:val="center"/>
        <w:outlineLvl w:val="1"/>
        <w:rPr>
          <w:rFonts w:ascii="宋体" w:hAnsi="宋体" w:cs="Arial"/>
          <w:b/>
          <w:sz w:val="24"/>
          <w:szCs w:val="24"/>
        </w:rPr>
      </w:pPr>
      <w:bookmarkStart w:id="12" w:name="_Toc18026"/>
      <w:r>
        <w:rPr>
          <w:rFonts w:hint="eastAsia" w:ascii="宋体" w:hAnsi="宋体" w:cs="Arial"/>
          <w:b/>
          <w:sz w:val="24"/>
          <w:szCs w:val="24"/>
        </w:rPr>
        <w:t>（五）、开标与评标</w:t>
      </w:r>
      <w:bookmarkEnd w:id="12"/>
    </w:p>
    <w:p>
      <w:pPr>
        <w:jc w:val="left"/>
        <w:rPr>
          <w:rFonts w:ascii="宋体" w:hAnsi="宋体" w:cs="Arial"/>
          <w:b/>
          <w:sz w:val="24"/>
          <w:szCs w:val="24"/>
        </w:rPr>
      </w:pPr>
      <w:r>
        <w:rPr>
          <w:rFonts w:hint="eastAsia" w:ascii="宋体" w:hAnsi="宋体" w:cs="Arial"/>
          <w:b/>
          <w:sz w:val="24"/>
          <w:szCs w:val="24"/>
        </w:rPr>
        <w:t>19、开标</w:t>
      </w:r>
    </w:p>
    <w:p>
      <w:pPr>
        <w:jc w:val="left"/>
        <w:rPr>
          <w:rFonts w:ascii="宋体" w:hAnsi="宋体" w:cs="Arial"/>
          <w:sz w:val="24"/>
          <w:szCs w:val="24"/>
        </w:rPr>
      </w:pPr>
      <w:r>
        <w:rPr>
          <w:rFonts w:hint="eastAsia" w:ascii="宋体" w:hAnsi="宋体" w:cs="Arial"/>
          <w:sz w:val="24"/>
          <w:szCs w:val="24"/>
        </w:rPr>
        <w:t>19.1 六安世立医院将在“招标公告”规定的时间和地点组织公开开标，投标人应由法定代表人或公</w:t>
      </w:r>
      <w:r>
        <w:rPr>
          <w:rFonts w:hint="eastAsia" w:ascii="宋体" w:hAnsi="宋体" w:cs="Arial"/>
          <w:color w:val="000000" w:themeColor="text1"/>
          <w:sz w:val="24"/>
          <w:szCs w:val="24"/>
        </w:rPr>
        <w:t>司股东并提供近三个月社保证明授权代表</w:t>
      </w:r>
      <w:r>
        <w:rPr>
          <w:rFonts w:hint="eastAsia" w:ascii="宋体" w:hAnsi="宋体" w:cs="Arial"/>
          <w:sz w:val="24"/>
          <w:szCs w:val="24"/>
        </w:rPr>
        <w:t>在投标截止时间前参加，现场签到并递交标书。</w:t>
      </w:r>
    </w:p>
    <w:p>
      <w:pPr>
        <w:jc w:val="left"/>
        <w:rPr>
          <w:rFonts w:ascii="宋体" w:hAnsi="宋体" w:cs="Arial"/>
          <w:sz w:val="24"/>
          <w:szCs w:val="24"/>
        </w:rPr>
      </w:pPr>
      <w:r>
        <w:rPr>
          <w:rFonts w:hint="eastAsia" w:ascii="宋体" w:hAnsi="宋体" w:cs="Arial"/>
          <w:sz w:val="24"/>
          <w:szCs w:val="24"/>
        </w:rPr>
        <w:t>19.2 开标前，先由投标人或其推选的代表检查投标文件的密封情况，也可以由公证机构检查并公证。经确认无误后，由工作人员当众拆封。</w:t>
      </w:r>
    </w:p>
    <w:p>
      <w:pPr>
        <w:jc w:val="left"/>
        <w:rPr>
          <w:rFonts w:ascii="宋体" w:hAnsi="宋体" w:cs="Arial"/>
          <w:sz w:val="24"/>
          <w:szCs w:val="24"/>
        </w:rPr>
      </w:pPr>
      <w:r>
        <w:rPr>
          <w:rFonts w:hint="eastAsia" w:ascii="宋体" w:hAnsi="宋体" w:cs="Arial"/>
          <w:sz w:val="24"/>
          <w:szCs w:val="24"/>
        </w:rPr>
        <w:t>19.3投标文件报价与开标一览表中报价不一致时，以开标一览表为准，开标一览表中报价大写金额与小写金额不一致时，以大写金额为准。</w:t>
      </w:r>
    </w:p>
    <w:p>
      <w:pPr>
        <w:jc w:val="left"/>
        <w:rPr>
          <w:rFonts w:ascii="宋体" w:hAnsi="宋体" w:cs="Arial"/>
          <w:sz w:val="24"/>
          <w:szCs w:val="24"/>
        </w:rPr>
      </w:pPr>
      <w:r>
        <w:rPr>
          <w:rFonts w:hint="eastAsia" w:ascii="宋体" w:hAnsi="宋体" w:cs="Arial"/>
          <w:sz w:val="24"/>
          <w:szCs w:val="24"/>
        </w:rPr>
        <w:t>19.4六安世立医院将做开标记录。</w:t>
      </w:r>
    </w:p>
    <w:p>
      <w:pPr>
        <w:jc w:val="left"/>
        <w:rPr>
          <w:rFonts w:ascii="宋体" w:hAnsi="宋体" w:cs="Arial"/>
          <w:b/>
          <w:sz w:val="24"/>
          <w:szCs w:val="24"/>
        </w:rPr>
      </w:pPr>
      <w:r>
        <w:rPr>
          <w:rFonts w:hint="eastAsia" w:ascii="宋体" w:hAnsi="宋体" w:cs="Arial"/>
          <w:b/>
          <w:sz w:val="24"/>
          <w:szCs w:val="24"/>
        </w:rPr>
        <w:t>20、评标</w:t>
      </w:r>
    </w:p>
    <w:p>
      <w:pPr>
        <w:jc w:val="left"/>
        <w:rPr>
          <w:rFonts w:ascii="宋体" w:hAnsi="宋体" w:cs="Arial"/>
          <w:sz w:val="24"/>
          <w:szCs w:val="24"/>
        </w:rPr>
      </w:pPr>
      <w:r>
        <w:rPr>
          <w:rFonts w:hint="eastAsia" w:ascii="宋体" w:hAnsi="宋体" w:cs="Arial"/>
          <w:sz w:val="24"/>
          <w:szCs w:val="24"/>
        </w:rPr>
        <w:t>20.1开标会结束后，评标随即开始。</w:t>
      </w:r>
    </w:p>
    <w:p>
      <w:pPr>
        <w:jc w:val="left"/>
        <w:rPr>
          <w:rFonts w:ascii="宋体" w:hAnsi="宋体" w:cs="Arial"/>
          <w:sz w:val="24"/>
          <w:szCs w:val="24"/>
        </w:rPr>
      </w:pPr>
      <w:r>
        <w:rPr>
          <w:rFonts w:hint="eastAsia" w:ascii="宋体" w:hAnsi="宋体" w:cs="Arial"/>
          <w:sz w:val="24"/>
          <w:szCs w:val="24"/>
        </w:rPr>
        <w:t>20.2 评标工作由为该项目专门组织的、由五人及以上单数组成的评标委员会(简称评委会)进行。</w:t>
      </w:r>
    </w:p>
    <w:p>
      <w:pPr>
        <w:jc w:val="left"/>
        <w:rPr>
          <w:rFonts w:ascii="宋体" w:hAnsi="宋体" w:cs="Arial"/>
          <w:sz w:val="24"/>
          <w:szCs w:val="24"/>
        </w:rPr>
      </w:pPr>
      <w:r>
        <w:rPr>
          <w:rFonts w:hint="eastAsia" w:ascii="宋体" w:hAnsi="宋体" w:cs="Arial"/>
          <w:sz w:val="24"/>
          <w:szCs w:val="24"/>
        </w:rPr>
        <w:t>20.3 评委会按先初审、后复审的程序对投标文件进行评审。</w:t>
      </w:r>
    </w:p>
    <w:p>
      <w:pPr>
        <w:jc w:val="left"/>
        <w:rPr>
          <w:rFonts w:ascii="宋体" w:hAnsi="宋体" w:cs="Arial"/>
          <w:sz w:val="24"/>
          <w:szCs w:val="24"/>
        </w:rPr>
      </w:pPr>
      <w:r>
        <w:rPr>
          <w:rFonts w:hint="eastAsia" w:ascii="宋体" w:hAnsi="宋体" w:cs="Arial"/>
          <w:sz w:val="24"/>
          <w:szCs w:val="24"/>
        </w:rPr>
        <w:t>20.4 在初审阶段，属于下列情况的投标文件将不得进入复审阶段：</w:t>
      </w:r>
    </w:p>
    <w:p>
      <w:pPr>
        <w:jc w:val="left"/>
        <w:rPr>
          <w:rFonts w:ascii="宋体" w:hAnsi="宋体"/>
          <w:color w:val="000000"/>
          <w:sz w:val="24"/>
          <w:szCs w:val="24"/>
        </w:rPr>
      </w:pPr>
      <w:r>
        <w:rPr>
          <w:rFonts w:hint="eastAsia" w:ascii="宋体" w:hAnsi="宋体"/>
          <w:color w:val="000000"/>
          <w:sz w:val="24"/>
          <w:szCs w:val="24"/>
        </w:rPr>
        <w:t xml:space="preserve"> (1)未足额提交投标保证金、投标保证金在投标截止时间前未到指定账户或其投标保证金的有效期未能满足招标文件规定要求的；</w:t>
      </w:r>
    </w:p>
    <w:p>
      <w:pPr>
        <w:jc w:val="left"/>
        <w:rPr>
          <w:rFonts w:ascii="宋体" w:hAnsi="宋体"/>
          <w:color w:val="000000"/>
          <w:sz w:val="24"/>
          <w:szCs w:val="24"/>
        </w:rPr>
      </w:pPr>
      <w:r>
        <w:rPr>
          <w:rFonts w:hint="eastAsia" w:ascii="宋体" w:hAnsi="宋体"/>
          <w:color w:val="000000"/>
          <w:sz w:val="24"/>
          <w:szCs w:val="24"/>
        </w:rPr>
        <w:t xml:space="preserve"> (2)投标文件未经法定代表人或其授权代表签字、加盖公章的；</w:t>
      </w:r>
    </w:p>
    <w:p>
      <w:pPr>
        <w:jc w:val="left"/>
        <w:rPr>
          <w:rFonts w:ascii="宋体" w:hAnsi="宋体"/>
          <w:color w:val="000000"/>
          <w:sz w:val="24"/>
          <w:szCs w:val="24"/>
        </w:rPr>
      </w:pPr>
      <w:r>
        <w:rPr>
          <w:rFonts w:hint="eastAsia" w:ascii="宋体" w:hAnsi="宋体"/>
          <w:color w:val="000000"/>
          <w:sz w:val="24"/>
          <w:szCs w:val="24"/>
        </w:rPr>
        <w:t xml:space="preserve"> (3)投标文件编排混乱、且擅自修改招标文件格式的；</w:t>
      </w:r>
    </w:p>
    <w:p>
      <w:pPr>
        <w:jc w:val="left"/>
        <w:rPr>
          <w:rFonts w:ascii="宋体" w:hAnsi="宋体"/>
          <w:color w:val="000000"/>
          <w:sz w:val="24"/>
          <w:szCs w:val="24"/>
        </w:rPr>
      </w:pPr>
      <w:r>
        <w:rPr>
          <w:rFonts w:hint="eastAsia" w:ascii="宋体" w:hAnsi="宋体"/>
          <w:color w:val="000000"/>
          <w:sz w:val="24"/>
          <w:szCs w:val="24"/>
        </w:rPr>
        <w:t xml:space="preserve"> (4)未能满足招标公告或招标文件要求资质条件的（详见招标公告）；</w:t>
      </w:r>
    </w:p>
    <w:p>
      <w:pPr>
        <w:jc w:val="left"/>
        <w:rPr>
          <w:rFonts w:ascii="宋体" w:hAnsi="宋体"/>
          <w:b/>
          <w:bCs/>
          <w:sz w:val="24"/>
          <w:szCs w:val="24"/>
        </w:rPr>
      </w:pPr>
      <w:r>
        <w:rPr>
          <w:rFonts w:hint="eastAsia" w:ascii="宋体" w:hAnsi="宋体"/>
          <w:b/>
          <w:bCs/>
          <w:sz w:val="24"/>
          <w:szCs w:val="24"/>
        </w:rPr>
        <w:t xml:space="preserve"> (5)详细初审指标如下：</w:t>
      </w:r>
    </w:p>
    <w:p>
      <w:pPr>
        <w:jc w:val="left"/>
        <w:rPr>
          <w:rFonts w:ascii="宋体" w:hAnsi="宋体"/>
          <w:b/>
          <w:bCs/>
          <w:sz w:val="24"/>
          <w:szCs w:val="24"/>
        </w:rPr>
      </w:pPr>
      <w:r>
        <w:rPr>
          <w:rFonts w:hint="eastAsia" w:ascii="宋体" w:hAnsi="宋体"/>
          <w:b/>
          <w:bCs/>
          <w:sz w:val="24"/>
          <w:szCs w:val="24"/>
        </w:rPr>
        <w:t>消防安保</w:t>
      </w:r>
      <w:r>
        <w:rPr>
          <w:rFonts w:hint="eastAsia" w:ascii="宋体" w:hAnsi="宋体" w:cs="Arial"/>
          <w:b/>
          <w:color w:val="000000"/>
          <w:sz w:val="24"/>
          <w:szCs w:val="24"/>
        </w:rPr>
        <w:t>服务</w:t>
      </w:r>
    </w:p>
    <w:tbl>
      <w:tblPr>
        <w:tblStyle w:val="41"/>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100"/>
        <w:gridCol w:w="2520"/>
        <w:gridCol w:w="147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945"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序号</w:t>
            </w:r>
          </w:p>
        </w:tc>
        <w:tc>
          <w:tcPr>
            <w:tcW w:w="2100" w:type="dxa"/>
            <w:tcBorders>
              <w:bottom w:val="single" w:color="auto" w:sz="4" w:space="0"/>
            </w:tcBorders>
            <w:vAlign w:val="center"/>
          </w:tcPr>
          <w:p>
            <w:pPr>
              <w:pStyle w:val="149"/>
              <w:pBdr>
                <w:bottom w:val="none" w:color="auto" w:sz="0" w:space="0"/>
              </w:pBdr>
              <w:tabs>
                <w:tab w:val="clear" w:pos="4153"/>
                <w:tab w:val="clear" w:pos="8306"/>
              </w:tabs>
              <w:snapToGrid w:val="0"/>
              <w:spacing w:line="400" w:lineRule="exact"/>
              <w:ind w:right="-10"/>
              <w:textAlignment w:val="auto"/>
              <w:rPr>
                <w:rFonts w:ascii="宋体" w:hAnsi="宋体" w:eastAsia="宋体"/>
                <w:color w:val="000000"/>
                <w:kern w:val="2"/>
                <w:sz w:val="21"/>
                <w:szCs w:val="21"/>
              </w:rPr>
            </w:pPr>
            <w:r>
              <w:rPr>
                <w:rFonts w:hint="eastAsia" w:ascii="宋体" w:hAnsi="宋体" w:eastAsia="宋体"/>
                <w:color w:val="000000"/>
                <w:kern w:val="2"/>
                <w:sz w:val="21"/>
                <w:szCs w:val="21"/>
              </w:rPr>
              <w:t>指标名称</w:t>
            </w:r>
          </w:p>
        </w:tc>
        <w:tc>
          <w:tcPr>
            <w:tcW w:w="252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指标要求</w:t>
            </w:r>
          </w:p>
        </w:tc>
        <w:tc>
          <w:tcPr>
            <w:tcW w:w="147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是否合格</w:t>
            </w:r>
          </w:p>
        </w:tc>
        <w:tc>
          <w:tcPr>
            <w:tcW w:w="1470" w:type="dxa"/>
            <w:tcBorders>
              <w:bottom w:val="single" w:color="auto" w:sz="4" w:space="0"/>
            </w:tcBorders>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是否提交原件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0"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1</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营业执照</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年检有效合格</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2</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保安服务许可证</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省级及以上公安机关颁发的有效证件</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3</w:t>
            </w:r>
          </w:p>
        </w:tc>
        <w:tc>
          <w:tcPr>
            <w:tcW w:w="2100" w:type="dxa"/>
            <w:vAlign w:val="center"/>
          </w:tcPr>
          <w:p>
            <w:pPr>
              <w:spacing w:line="400" w:lineRule="exact"/>
              <w:ind w:firstLine="420" w:firstLineChars="200"/>
              <w:jc w:val="left"/>
              <w:rPr>
                <w:rFonts w:ascii="宋体" w:hAnsi="宋体"/>
                <w:color w:val="000000"/>
                <w:szCs w:val="21"/>
              </w:rPr>
            </w:pPr>
            <w:r>
              <w:rPr>
                <w:rFonts w:hint="eastAsia" w:ascii="宋体" w:hAnsi="宋体"/>
                <w:color w:val="000000"/>
                <w:szCs w:val="21"/>
              </w:rPr>
              <w:t>类似业绩</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themeColor="text1"/>
                <w:szCs w:val="21"/>
              </w:rPr>
              <w:t>至少提供一个（2015年</w:t>
            </w:r>
            <w:r>
              <w:rPr>
                <w:rFonts w:hint="eastAsia" w:ascii="宋体" w:hAnsi="宋体" w:cs="宋体"/>
                <w:color w:val="000000" w:themeColor="text1"/>
                <w:kern w:val="0"/>
                <w:szCs w:val="21"/>
              </w:rPr>
              <w:t>1家二级或二级以上医院安保服务类业绩，需要合同原件备查</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4</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法人授权书</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符合招标文件要求</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0"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5</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投标保证金</w:t>
            </w:r>
          </w:p>
        </w:tc>
        <w:tc>
          <w:tcPr>
            <w:tcW w:w="252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符合招标文件要求</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6</w:t>
            </w:r>
          </w:p>
        </w:tc>
        <w:tc>
          <w:tcPr>
            <w:tcW w:w="2100" w:type="dxa"/>
            <w:vAlign w:val="center"/>
          </w:tcPr>
          <w:p>
            <w:pPr>
              <w:spacing w:after="50" w:line="400" w:lineRule="exact"/>
              <w:ind w:right="-10"/>
              <w:jc w:val="center"/>
              <w:rPr>
                <w:rFonts w:ascii="宋体" w:hAnsi="宋体"/>
                <w:color w:val="000000"/>
                <w:szCs w:val="21"/>
              </w:rPr>
            </w:pPr>
            <w:r>
              <w:rPr>
                <w:rFonts w:hint="eastAsia" w:ascii="宋体" w:hAnsi="宋体"/>
                <w:color w:val="000000"/>
                <w:szCs w:val="21"/>
              </w:rPr>
              <w:t>标书规范性</w:t>
            </w:r>
          </w:p>
        </w:tc>
        <w:tc>
          <w:tcPr>
            <w:tcW w:w="2520" w:type="dxa"/>
            <w:vAlign w:val="center"/>
          </w:tcPr>
          <w:p>
            <w:pPr>
              <w:pStyle w:val="149"/>
              <w:pBdr>
                <w:bottom w:val="none" w:color="auto" w:sz="0" w:space="0"/>
              </w:pBdr>
              <w:tabs>
                <w:tab w:val="clear" w:pos="4153"/>
                <w:tab w:val="clear" w:pos="8306"/>
              </w:tabs>
              <w:adjustRightInd/>
              <w:spacing w:after="50" w:line="400" w:lineRule="exact"/>
              <w:ind w:right="-10"/>
              <w:textAlignment w:val="auto"/>
              <w:rPr>
                <w:rFonts w:ascii="宋体" w:hAnsi="宋体" w:eastAsia="宋体"/>
                <w:color w:val="000000"/>
                <w:kern w:val="2"/>
                <w:sz w:val="21"/>
                <w:szCs w:val="21"/>
              </w:rPr>
            </w:pPr>
            <w:r>
              <w:rPr>
                <w:rFonts w:hint="eastAsia" w:ascii="宋体" w:hAnsi="宋体" w:eastAsia="宋体"/>
                <w:color w:val="000000"/>
                <w:sz w:val="21"/>
                <w:szCs w:val="21"/>
              </w:rPr>
              <w:t>符合招标文件要求：</w:t>
            </w:r>
            <w:r>
              <w:rPr>
                <w:rFonts w:hint="eastAsia" w:ascii="宋体" w:hAnsi="宋体" w:eastAsia="宋体"/>
                <w:color w:val="000000"/>
                <w:kern w:val="2"/>
                <w:sz w:val="21"/>
                <w:szCs w:val="21"/>
              </w:rPr>
              <w:t>纸质投标文件数量符合招标文件规定。</w:t>
            </w:r>
            <w:r>
              <w:rPr>
                <w:rFonts w:hint="eastAsia" w:ascii="宋体" w:hAnsi="宋体" w:eastAsia="宋体"/>
                <w:color w:val="000000"/>
                <w:sz w:val="21"/>
                <w:szCs w:val="21"/>
              </w:rPr>
              <w:t>无严重的编排混乱、内容不全或字迹模糊辨认不清、前后矛盾情况。</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945"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7</w:t>
            </w:r>
          </w:p>
        </w:tc>
        <w:tc>
          <w:tcPr>
            <w:tcW w:w="2100" w:type="dxa"/>
            <w:vAlign w:val="center"/>
          </w:tcPr>
          <w:p>
            <w:pPr>
              <w:spacing w:after="50" w:line="400" w:lineRule="exact"/>
              <w:ind w:right="-10"/>
              <w:jc w:val="center"/>
              <w:rPr>
                <w:rFonts w:ascii="宋体" w:hAnsi="宋体"/>
                <w:szCs w:val="21"/>
              </w:rPr>
            </w:pPr>
            <w:r>
              <w:rPr>
                <w:rFonts w:hint="eastAsia" w:ascii="宋体" w:hAnsi="宋体"/>
                <w:szCs w:val="21"/>
              </w:rPr>
              <w:t>标书响应情况</w:t>
            </w:r>
          </w:p>
        </w:tc>
        <w:tc>
          <w:tcPr>
            <w:tcW w:w="2520" w:type="dxa"/>
            <w:vAlign w:val="center"/>
          </w:tcPr>
          <w:p>
            <w:pPr>
              <w:spacing w:after="50" w:line="400" w:lineRule="exact"/>
              <w:ind w:right="-10"/>
              <w:jc w:val="center"/>
              <w:rPr>
                <w:rFonts w:ascii="宋体" w:hAnsi="宋体"/>
                <w:szCs w:val="21"/>
              </w:rPr>
            </w:pPr>
            <w:r>
              <w:rPr>
                <w:rFonts w:hint="eastAsia" w:ascii="宋体" w:hAnsi="宋体"/>
                <w:szCs w:val="21"/>
              </w:rPr>
              <w:t>技术响应（无重大偏离）、付款响应、交货期及安装调试期响应、质保期响应等与招标文件要求无重大偏离。</w:t>
            </w:r>
          </w:p>
        </w:tc>
        <w:tc>
          <w:tcPr>
            <w:tcW w:w="1470" w:type="dxa"/>
            <w:vAlign w:val="center"/>
          </w:tcPr>
          <w:p>
            <w:pPr>
              <w:adjustRightInd w:val="0"/>
              <w:snapToGrid w:val="0"/>
              <w:spacing w:line="400" w:lineRule="exact"/>
              <w:ind w:right="-10"/>
              <w:jc w:val="center"/>
              <w:rPr>
                <w:rFonts w:ascii="宋体" w:hAnsi="宋体"/>
                <w:color w:val="000000"/>
                <w:szCs w:val="21"/>
              </w:rPr>
            </w:pPr>
          </w:p>
        </w:tc>
        <w:tc>
          <w:tcPr>
            <w:tcW w:w="1470" w:type="dxa"/>
            <w:vAlign w:val="center"/>
          </w:tcPr>
          <w:p>
            <w:pPr>
              <w:adjustRightInd w:val="0"/>
              <w:snapToGrid w:val="0"/>
              <w:spacing w:line="400" w:lineRule="exact"/>
              <w:ind w:right="-10"/>
              <w:jc w:val="center"/>
              <w:rPr>
                <w:rFonts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5" w:hRule="atLeast"/>
        </w:trPr>
        <w:tc>
          <w:tcPr>
            <w:tcW w:w="8505" w:type="dxa"/>
            <w:gridSpan w:val="5"/>
            <w:vAlign w:val="center"/>
          </w:tcPr>
          <w:p>
            <w:pPr>
              <w:adjustRightInd w:val="0"/>
              <w:snapToGrid w:val="0"/>
              <w:spacing w:line="400" w:lineRule="exact"/>
              <w:ind w:right="-10"/>
              <w:jc w:val="center"/>
              <w:rPr>
                <w:rFonts w:ascii="宋体" w:hAnsi="宋体"/>
                <w:b/>
                <w:color w:val="000000"/>
                <w:sz w:val="28"/>
                <w:szCs w:val="28"/>
              </w:rPr>
            </w:pPr>
            <w:r>
              <w:rPr>
                <w:rFonts w:hint="eastAsia" w:ascii="宋体" w:hAnsi="宋体"/>
                <w:b/>
                <w:bCs/>
                <w:color w:val="000000"/>
                <w:szCs w:val="21"/>
              </w:rPr>
              <w:t>初审指标通过标准：投标人必须通过上述全部指标且所有证明文件均以原件为准。</w:t>
            </w:r>
          </w:p>
        </w:tc>
      </w:tr>
    </w:tbl>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s="Arial"/>
          <w:b/>
          <w:color w:val="000000"/>
          <w:sz w:val="24"/>
          <w:szCs w:val="24"/>
        </w:rPr>
      </w:pPr>
    </w:p>
    <w:p>
      <w:pPr>
        <w:jc w:val="left"/>
        <w:rPr>
          <w:rFonts w:ascii="宋体" w:hAnsi="宋体"/>
          <w:color w:val="000000"/>
          <w:sz w:val="24"/>
          <w:szCs w:val="24"/>
        </w:rPr>
      </w:pPr>
    </w:p>
    <w:p>
      <w:pPr>
        <w:jc w:val="left"/>
        <w:rPr>
          <w:rFonts w:ascii="新宋体" w:hAnsi="新宋体" w:eastAsia="新宋体" w:cs="新宋体"/>
          <w:sz w:val="24"/>
          <w:szCs w:val="24"/>
        </w:rPr>
      </w:pPr>
      <w:r>
        <w:rPr>
          <w:rFonts w:hint="eastAsia" w:ascii="新宋体" w:hAnsi="新宋体" w:eastAsia="新宋体" w:cs="新宋体"/>
          <w:sz w:val="24"/>
          <w:szCs w:val="24"/>
        </w:rPr>
        <w:t>20.5在复审阶段，评委会将采用综合评分法，从经济、技术、资信服务等方面对投标文件进行评审。</w:t>
      </w:r>
    </w:p>
    <w:p>
      <w:pPr>
        <w:jc w:val="left"/>
        <w:rPr>
          <w:rFonts w:ascii="新宋体" w:hAnsi="新宋体" w:eastAsia="新宋体" w:cs="新宋体"/>
          <w:sz w:val="24"/>
          <w:szCs w:val="24"/>
        </w:rPr>
      </w:pPr>
      <w:r>
        <w:rPr>
          <w:rFonts w:hint="eastAsia" w:ascii="新宋体" w:hAnsi="新宋体" w:eastAsia="新宋体" w:cs="新宋体"/>
          <w:sz w:val="24"/>
          <w:szCs w:val="24"/>
        </w:rPr>
        <w:t>(1)经济上的评审。</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 (2)技术上的评审，主要是审查投标文件对招标文件技术要求的响应程度。包括：投标技术方案的评审、投标人承诺的服务时限、响应时限等方面的评审。</w:t>
      </w:r>
    </w:p>
    <w:p>
      <w:pPr>
        <w:jc w:val="left"/>
        <w:rPr>
          <w:rFonts w:ascii="新宋体" w:hAnsi="新宋体" w:eastAsia="新宋体" w:cs="新宋体"/>
          <w:sz w:val="24"/>
          <w:szCs w:val="24"/>
        </w:rPr>
      </w:pPr>
      <w:r>
        <w:rPr>
          <w:rFonts w:hint="eastAsia" w:ascii="新宋体" w:hAnsi="新宋体" w:eastAsia="新宋体" w:cs="新宋体"/>
          <w:sz w:val="24"/>
          <w:szCs w:val="24"/>
        </w:rPr>
        <w:t xml:space="preserve"> (3)资信服务上的评审，主要是针对招标文件要求审核投标人提供的资格证明文件、承担本项目信誉、经验及能力方面，同时还对投标人提供服务的正当性、可靠性等方面进行审核。</w:t>
      </w:r>
    </w:p>
    <w:p>
      <w:pPr>
        <w:jc w:val="left"/>
        <w:rPr>
          <w:rFonts w:ascii="宋体" w:hAnsi="宋体" w:cs="Arial"/>
          <w:b/>
          <w:sz w:val="24"/>
          <w:szCs w:val="24"/>
        </w:rPr>
      </w:pPr>
      <w:r>
        <w:rPr>
          <w:rFonts w:hint="eastAsia" w:ascii="宋体" w:hAnsi="宋体" w:cs="Arial"/>
          <w:b/>
          <w:sz w:val="24"/>
          <w:szCs w:val="24"/>
        </w:rPr>
        <w:t>21、投标文件的澄清</w:t>
      </w:r>
    </w:p>
    <w:p>
      <w:pPr>
        <w:jc w:val="left"/>
        <w:rPr>
          <w:rFonts w:ascii="宋体" w:hAnsi="宋体" w:cs="Arial"/>
          <w:sz w:val="24"/>
          <w:szCs w:val="24"/>
        </w:rPr>
      </w:pPr>
      <w:r>
        <w:rPr>
          <w:rFonts w:hint="eastAsia" w:ascii="宋体" w:hAnsi="宋体" w:cs="Arial"/>
          <w:sz w:val="24"/>
          <w:szCs w:val="24"/>
        </w:rPr>
        <w:t>21.1为有助于对投标文件的审查、评价和比较，评委会可分别要求投标人对投标文件中含义不清的内容进行澄清。有关澄清的要求和答复均须以书面形式，但投标价格和实质性的内容不得更改。</w:t>
      </w:r>
    </w:p>
    <w:p>
      <w:pPr>
        <w:jc w:val="left"/>
        <w:rPr>
          <w:rFonts w:ascii="宋体" w:hAnsi="宋体" w:cs="Arial"/>
          <w:b/>
          <w:sz w:val="24"/>
          <w:szCs w:val="24"/>
        </w:rPr>
      </w:pPr>
      <w:r>
        <w:rPr>
          <w:rFonts w:hint="eastAsia" w:ascii="宋体" w:hAnsi="宋体" w:cs="Arial"/>
          <w:b/>
          <w:sz w:val="24"/>
          <w:szCs w:val="24"/>
        </w:rPr>
        <w:t>22、评标过程的保密性</w:t>
      </w:r>
    </w:p>
    <w:p>
      <w:pPr>
        <w:jc w:val="left"/>
        <w:rPr>
          <w:rFonts w:ascii="宋体" w:hAnsi="宋体" w:cs="Arial"/>
          <w:sz w:val="24"/>
          <w:szCs w:val="24"/>
        </w:rPr>
      </w:pPr>
      <w:r>
        <w:rPr>
          <w:rFonts w:hint="eastAsia" w:ascii="宋体" w:hAnsi="宋体" w:cs="Arial"/>
          <w:sz w:val="24"/>
          <w:szCs w:val="24"/>
        </w:rPr>
        <w:t>22.1 开标后，直到授予中标人合同止，凡是与标书审查、澄清、评价、比较以及授标建议等方面的情况，均不得向投标人或其他无关的人员透露。</w:t>
      </w:r>
    </w:p>
    <w:p>
      <w:pPr>
        <w:jc w:val="left"/>
        <w:rPr>
          <w:rFonts w:ascii="宋体" w:hAnsi="宋体" w:cs="Arial"/>
          <w:sz w:val="24"/>
          <w:szCs w:val="24"/>
        </w:rPr>
      </w:pPr>
      <w:r>
        <w:rPr>
          <w:rFonts w:hint="eastAsia" w:ascii="宋体" w:hAnsi="宋体" w:cs="Arial"/>
          <w:sz w:val="24"/>
          <w:szCs w:val="24"/>
        </w:rPr>
        <w:t>22.2在评标过程中，投标人如向评委会成员施加任何影响，都将会导致其投标被拒绝，六安世立医院将记录其不良行为。</w:t>
      </w:r>
    </w:p>
    <w:p>
      <w:pPr>
        <w:jc w:val="center"/>
        <w:rPr>
          <w:rFonts w:ascii="宋体" w:hAnsi="宋体" w:cs="Arial"/>
          <w:b/>
          <w:sz w:val="24"/>
          <w:szCs w:val="24"/>
        </w:rPr>
      </w:pPr>
    </w:p>
    <w:p>
      <w:pPr>
        <w:jc w:val="center"/>
        <w:outlineLvl w:val="1"/>
        <w:rPr>
          <w:rFonts w:ascii="宋体" w:hAnsi="宋体" w:cs="Arial"/>
          <w:b/>
          <w:sz w:val="24"/>
          <w:szCs w:val="24"/>
        </w:rPr>
      </w:pPr>
      <w:bookmarkStart w:id="13" w:name="_Toc13717"/>
      <w:r>
        <w:rPr>
          <w:rFonts w:hint="eastAsia" w:ascii="宋体" w:hAnsi="宋体" w:cs="Arial"/>
          <w:b/>
          <w:sz w:val="24"/>
          <w:szCs w:val="24"/>
        </w:rPr>
        <w:t>（六）、授予合同</w:t>
      </w:r>
      <w:bookmarkEnd w:id="13"/>
    </w:p>
    <w:p>
      <w:pPr>
        <w:jc w:val="left"/>
        <w:rPr>
          <w:rFonts w:ascii="宋体" w:hAnsi="宋体" w:cs="Arial"/>
          <w:b/>
          <w:sz w:val="24"/>
          <w:szCs w:val="24"/>
        </w:rPr>
      </w:pPr>
      <w:r>
        <w:rPr>
          <w:rFonts w:hint="eastAsia" w:ascii="宋体" w:hAnsi="宋体"/>
          <w:b/>
          <w:color w:val="000000"/>
          <w:sz w:val="24"/>
          <w:szCs w:val="24"/>
        </w:rPr>
        <w:t>23、合同的授予</w:t>
      </w:r>
    </w:p>
    <w:p>
      <w:pPr>
        <w:pStyle w:val="21"/>
        <w:jc w:val="left"/>
        <w:rPr>
          <w:rFonts w:hAnsi="宋体"/>
          <w:sz w:val="24"/>
          <w:szCs w:val="24"/>
        </w:rPr>
      </w:pPr>
      <w:r>
        <w:rPr>
          <w:rFonts w:hint="eastAsia" w:hAnsi="宋体"/>
          <w:color w:val="000000"/>
          <w:sz w:val="24"/>
          <w:szCs w:val="24"/>
        </w:rPr>
        <w:t>23.1</w:t>
      </w:r>
      <w:r>
        <w:rPr>
          <w:rFonts w:hint="eastAsia" w:hAnsi="宋体"/>
          <w:sz w:val="24"/>
          <w:szCs w:val="24"/>
        </w:rPr>
        <w:t>评委会对实质上响应招标文件要求的投标人，按综合得分高低推荐第一中标候选人、第二中标候选人、第三中标候选人。</w:t>
      </w:r>
    </w:p>
    <w:p>
      <w:pPr>
        <w:jc w:val="left"/>
        <w:rPr>
          <w:rFonts w:ascii="宋体" w:hAnsi="宋体"/>
          <w:color w:val="000000"/>
          <w:sz w:val="24"/>
          <w:szCs w:val="24"/>
        </w:rPr>
      </w:pPr>
      <w:r>
        <w:rPr>
          <w:rFonts w:hint="eastAsia" w:ascii="宋体" w:hAnsi="宋体" w:cs="Arial"/>
          <w:sz w:val="24"/>
          <w:szCs w:val="24"/>
        </w:rPr>
        <w:t>23.</w:t>
      </w:r>
      <w:r>
        <w:rPr>
          <w:rFonts w:ascii="宋体" w:hAnsi="宋体" w:cs="Arial"/>
          <w:sz w:val="24"/>
          <w:szCs w:val="24"/>
        </w:rPr>
        <w:t>2</w:t>
      </w:r>
      <w:r>
        <w:rPr>
          <w:rFonts w:hint="eastAsia" w:ascii="宋体" w:hAnsi="宋体" w:cs="Arial"/>
          <w:sz w:val="24"/>
          <w:szCs w:val="24"/>
        </w:rPr>
        <w:t>中标侯选人，由六安市六安世立医院发出中标通知书，中标人应在规定时间内与招标人签订合同。</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4</w:t>
      </w:r>
      <w:r>
        <w:rPr>
          <w:rFonts w:hint="eastAsia" w:ascii="宋体" w:hAnsi="宋体" w:cs="Arial"/>
          <w:b/>
          <w:sz w:val="24"/>
          <w:szCs w:val="24"/>
        </w:rPr>
        <w:t>、否决所有投标和重新招标</w:t>
      </w:r>
    </w:p>
    <w:p>
      <w:pPr>
        <w:jc w:val="left"/>
        <w:rPr>
          <w:rFonts w:ascii="宋体" w:hAnsi="宋体" w:cs="Arial"/>
          <w:sz w:val="24"/>
          <w:szCs w:val="24"/>
        </w:rPr>
      </w:pPr>
      <w:r>
        <w:rPr>
          <w:rFonts w:hint="eastAsia" w:ascii="宋体" w:hAnsi="宋体" w:cs="Arial"/>
          <w:sz w:val="24"/>
          <w:szCs w:val="24"/>
        </w:rPr>
        <w:t>25.1 如评委会认为所有投标文件均未能对招标文件做出实质性响应，可以否决所有的投标，经项目招标领导小组批准，六安世立医院将宣布本次招标无效，并重新组织招标。</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5</w:t>
      </w:r>
      <w:r>
        <w:rPr>
          <w:rFonts w:hint="eastAsia" w:ascii="宋体" w:hAnsi="宋体" w:cs="Arial"/>
          <w:b/>
          <w:sz w:val="24"/>
          <w:szCs w:val="24"/>
        </w:rPr>
        <w:t>、中标通知书</w:t>
      </w:r>
    </w:p>
    <w:p>
      <w:pPr>
        <w:jc w:val="left"/>
        <w:rPr>
          <w:rFonts w:ascii="宋体" w:hAnsi="宋体" w:cs="Arial"/>
          <w:sz w:val="24"/>
          <w:szCs w:val="24"/>
        </w:rPr>
      </w:pPr>
      <w:r>
        <w:rPr>
          <w:rFonts w:hint="eastAsia" w:ascii="宋体" w:hAnsi="宋体" w:cs="Arial"/>
          <w:sz w:val="24"/>
          <w:szCs w:val="24"/>
        </w:rPr>
        <w:t>26.1在投标有效期满之前，六安世立医院将中标结果在</w:t>
      </w:r>
      <w:r>
        <w:rPr>
          <w:rFonts w:hint="eastAsia" w:ascii="宋体" w:hAnsi="宋体" w:cs="Arial"/>
          <w:color w:val="000000" w:themeColor="text1"/>
          <w:sz w:val="24"/>
          <w:szCs w:val="24"/>
        </w:rPr>
        <w:t>开标现场宣布或在六安世立医院官网上公示，并发出中标通知书。中标通知书是合同不可分割的组成</w:t>
      </w:r>
      <w:r>
        <w:rPr>
          <w:rFonts w:hint="eastAsia" w:ascii="宋体" w:hAnsi="宋体" w:cs="Arial"/>
          <w:sz w:val="24"/>
          <w:szCs w:val="24"/>
        </w:rPr>
        <w:t>部分。合同签定后，世立医院将退回所有投标人的投标保证金。</w:t>
      </w:r>
    </w:p>
    <w:p>
      <w:pPr>
        <w:jc w:val="left"/>
        <w:rPr>
          <w:rFonts w:ascii="宋体" w:hAnsi="宋体" w:cs="Arial"/>
          <w:b/>
          <w:sz w:val="24"/>
          <w:szCs w:val="24"/>
        </w:rPr>
      </w:pPr>
      <w:r>
        <w:rPr>
          <w:rFonts w:hint="eastAsia" w:ascii="宋体" w:hAnsi="宋体" w:cs="Arial"/>
          <w:b/>
          <w:sz w:val="24"/>
          <w:szCs w:val="24"/>
        </w:rPr>
        <w:t>2</w:t>
      </w:r>
      <w:r>
        <w:rPr>
          <w:rFonts w:ascii="宋体" w:hAnsi="宋体" w:cs="Arial"/>
          <w:b/>
          <w:sz w:val="24"/>
          <w:szCs w:val="24"/>
        </w:rPr>
        <w:t>6</w:t>
      </w:r>
      <w:r>
        <w:rPr>
          <w:rFonts w:hint="eastAsia" w:ascii="宋体" w:hAnsi="宋体" w:cs="Arial"/>
          <w:b/>
          <w:sz w:val="24"/>
          <w:szCs w:val="24"/>
        </w:rPr>
        <w:t>、履约保证金</w:t>
      </w:r>
    </w:p>
    <w:p>
      <w:pPr>
        <w:jc w:val="left"/>
        <w:rPr>
          <w:rFonts w:ascii="宋体" w:hAnsi="宋体" w:cs="Arial"/>
          <w:sz w:val="24"/>
          <w:szCs w:val="24"/>
        </w:rPr>
      </w:pPr>
      <w:r>
        <w:rPr>
          <w:rFonts w:hint="eastAsia" w:ascii="宋体" w:hAnsi="宋体" w:cs="Arial"/>
          <w:sz w:val="24"/>
          <w:szCs w:val="24"/>
        </w:rPr>
        <w:t>27.1中标人在签订合同前，必须按照合同规定向买方提交“合同条款前附表”中规定数额的履约保证金。</w:t>
      </w:r>
    </w:p>
    <w:p>
      <w:pPr>
        <w:jc w:val="left"/>
        <w:rPr>
          <w:rFonts w:ascii="宋体" w:hAnsi="宋体" w:cs="Arial"/>
          <w:color w:val="0000FF"/>
          <w:sz w:val="24"/>
          <w:szCs w:val="24"/>
          <w:u w:val="single"/>
        </w:rPr>
      </w:pPr>
      <w:r>
        <w:rPr>
          <w:rFonts w:hint="eastAsia" w:ascii="宋体" w:hAnsi="宋体" w:cs="Arial"/>
          <w:sz w:val="24"/>
          <w:szCs w:val="24"/>
        </w:rPr>
        <w:t>27.2履约保证金可以是支票、汇票、本票、保单等非现金形式。</w:t>
      </w:r>
    </w:p>
    <w:p>
      <w:pPr>
        <w:jc w:val="left"/>
        <w:rPr>
          <w:rFonts w:ascii="宋体" w:hAnsi="宋体" w:cs="Arial"/>
          <w:b/>
          <w:sz w:val="24"/>
          <w:szCs w:val="24"/>
        </w:rPr>
      </w:pPr>
      <w:r>
        <w:rPr>
          <w:rFonts w:hint="eastAsia" w:ascii="宋体" w:hAnsi="宋体" w:cs="Arial"/>
          <w:b/>
          <w:sz w:val="24"/>
          <w:szCs w:val="24"/>
        </w:rPr>
        <w:t>27、签订合同</w:t>
      </w:r>
    </w:p>
    <w:p>
      <w:pPr>
        <w:jc w:val="left"/>
        <w:rPr>
          <w:rFonts w:ascii="宋体" w:hAnsi="宋体" w:cs="Arial"/>
          <w:sz w:val="24"/>
          <w:szCs w:val="24"/>
        </w:rPr>
      </w:pPr>
      <w:r>
        <w:rPr>
          <w:rFonts w:hint="eastAsia" w:ascii="宋体" w:hAnsi="宋体" w:cs="Arial"/>
          <w:sz w:val="24"/>
          <w:szCs w:val="24"/>
        </w:rPr>
        <w:t>28.1中标人应按中标通知书指定的时间、地点与招标方签订合同。</w:t>
      </w:r>
    </w:p>
    <w:p>
      <w:pPr>
        <w:jc w:val="left"/>
        <w:rPr>
          <w:rFonts w:ascii="宋体" w:hAnsi="宋体" w:cs="Arial"/>
          <w:sz w:val="24"/>
          <w:szCs w:val="24"/>
        </w:rPr>
      </w:pPr>
      <w:r>
        <w:rPr>
          <w:rFonts w:hint="eastAsia" w:ascii="宋体" w:hAnsi="宋体" w:cs="Arial"/>
          <w:sz w:val="24"/>
          <w:szCs w:val="24"/>
        </w:rPr>
        <w:t>28.2如果中标人没有按照第27条或28条的规定去做，六安世立医院将会同招标人取消其中标资格，该中标人不得要求六安世立医院退还其投标保证金。在此情况下，经项目招标领导小组研究决定后，六安世立医院会同采购方可将合同授予排名第二的中标候选人，依此类推或重新招标。</w:t>
      </w:r>
    </w:p>
    <w:p>
      <w:pPr>
        <w:keepNext/>
        <w:ind w:firstLine="2891" w:firstLineChars="1200"/>
        <w:rPr>
          <w:rFonts w:ascii="宋体" w:hAnsi="宋体" w:cs="Arial"/>
          <w:b/>
          <w:bCs/>
          <w:sz w:val="24"/>
          <w:szCs w:val="24"/>
        </w:rPr>
      </w:pPr>
      <w:r>
        <w:rPr>
          <w:rFonts w:hint="eastAsia" w:ascii="宋体" w:hAnsi="宋体" w:cs="Arial"/>
          <w:b/>
          <w:bCs/>
          <w:sz w:val="24"/>
          <w:szCs w:val="24"/>
        </w:rPr>
        <w:t>1、合同条款前附表</w:t>
      </w:r>
    </w:p>
    <w:tbl>
      <w:tblPr>
        <w:tblStyle w:val="41"/>
        <w:tblW w:w="852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695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1578" w:type="dxa"/>
            <w:tcBorders>
              <w:top w:val="double" w:color="auto" w:sz="4" w:space="0"/>
              <w:left w:val="double" w:color="auto" w:sz="4" w:space="0"/>
              <w:bottom w:val="single" w:color="auto" w:sz="4" w:space="0"/>
              <w:right w:val="single" w:color="auto" w:sz="4" w:space="0"/>
            </w:tcBorders>
            <w:vAlign w:val="center"/>
          </w:tcPr>
          <w:p>
            <w:pPr>
              <w:jc w:val="center"/>
              <w:rPr>
                <w:rFonts w:ascii="宋体" w:hAnsi="宋体"/>
                <w:b/>
                <w:sz w:val="24"/>
                <w:szCs w:val="24"/>
              </w:rPr>
            </w:pPr>
            <w:r>
              <w:rPr>
                <w:rFonts w:hint="eastAsia" w:ascii="宋体" w:hAnsi="宋体"/>
                <w:b/>
                <w:sz w:val="24"/>
                <w:szCs w:val="24"/>
              </w:rPr>
              <w:t>序号</w:t>
            </w:r>
          </w:p>
        </w:tc>
        <w:tc>
          <w:tcPr>
            <w:tcW w:w="6950" w:type="dxa"/>
            <w:tcBorders>
              <w:top w:val="double" w:color="auto" w:sz="4" w:space="0"/>
              <w:left w:val="single" w:color="auto" w:sz="4" w:space="0"/>
              <w:bottom w:val="single" w:color="auto" w:sz="4" w:space="0"/>
              <w:right w:val="double" w:color="auto" w:sz="4" w:space="0"/>
            </w:tcBorders>
            <w:vAlign w:val="center"/>
          </w:tcPr>
          <w:p>
            <w:pPr>
              <w:jc w:val="center"/>
              <w:rPr>
                <w:rFonts w:ascii="宋体" w:hAnsi="宋体"/>
                <w:b/>
                <w:sz w:val="24"/>
                <w:szCs w:val="24"/>
              </w:rPr>
            </w:pPr>
            <w:r>
              <w:rPr>
                <w:rFonts w:hint="eastAsia" w:ascii="宋体" w:hAnsi="宋体"/>
                <w:b/>
                <w:sz w:val="24"/>
                <w:szCs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6" w:hRule="atLeast"/>
        </w:trPr>
        <w:tc>
          <w:tcPr>
            <w:tcW w:w="1578" w:type="dxa"/>
            <w:tcBorders>
              <w:top w:val="single" w:color="auto" w:sz="4" w:space="0"/>
              <w:left w:val="doub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w:t>
            </w:r>
          </w:p>
        </w:tc>
        <w:tc>
          <w:tcPr>
            <w:tcW w:w="6950" w:type="dxa"/>
            <w:tcBorders>
              <w:top w:val="single" w:color="auto" w:sz="4" w:space="0"/>
              <w:left w:val="single" w:color="auto" w:sz="4" w:space="0"/>
              <w:bottom w:val="single" w:color="auto" w:sz="4" w:space="0"/>
              <w:right w:val="double" w:color="auto" w:sz="4" w:space="0"/>
            </w:tcBorders>
            <w:vAlign w:val="center"/>
          </w:tcPr>
          <w:p>
            <w:pPr>
              <w:rPr>
                <w:rFonts w:ascii="宋体" w:hAnsi="宋体"/>
                <w:sz w:val="24"/>
                <w:szCs w:val="24"/>
              </w:rPr>
            </w:pPr>
            <w:r>
              <w:rPr>
                <w:rFonts w:hint="eastAsia" w:ascii="宋体" w:hAnsi="宋体"/>
                <w:b/>
                <w:sz w:val="24"/>
                <w:szCs w:val="24"/>
              </w:rPr>
              <w:t>付 款 人：</w:t>
            </w:r>
            <w:r>
              <w:rPr>
                <w:rFonts w:hint="eastAsia" w:ascii="宋体" w:hAnsi="宋体" w:cs="宋体"/>
                <w:bCs/>
                <w:color w:val="000000"/>
                <w:kern w:val="0"/>
                <w:sz w:val="24"/>
                <w:szCs w:val="24"/>
              </w:rPr>
              <w:t>六安世立医院有限公司</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trPr>
        <w:tc>
          <w:tcPr>
            <w:tcW w:w="1578" w:type="dxa"/>
            <w:tcBorders>
              <w:top w:val="single" w:color="auto" w:sz="4" w:space="0"/>
              <w:left w:val="double" w:color="auto" w:sz="4" w:space="0"/>
              <w:bottom w:val="single" w:color="auto" w:sz="4" w:space="0"/>
              <w:right w:val="single" w:color="auto" w:sz="4" w:space="0"/>
            </w:tcBorders>
            <w:vAlign w:val="center"/>
          </w:tcPr>
          <w:p>
            <w:pPr>
              <w:snapToGrid w:val="0"/>
              <w:spacing w:line="560" w:lineRule="exact"/>
              <w:jc w:val="center"/>
              <w:rPr>
                <w:rFonts w:ascii="宋体" w:hAnsi="宋体"/>
                <w:sz w:val="24"/>
                <w:szCs w:val="24"/>
              </w:rPr>
            </w:pPr>
            <w:r>
              <w:rPr>
                <w:rFonts w:hint="eastAsia" w:ascii="宋体" w:hAnsi="宋体"/>
                <w:sz w:val="24"/>
                <w:szCs w:val="24"/>
              </w:rPr>
              <w:t>2</w:t>
            </w:r>
          </w:p>
        </w:tc>
        <w:tc>
          <w:tcPr>
            <w:tcW w:w="6950" w:type="dxa"/>
            <w:tcBorders>
              <w:top w:val="single" w:color="auto" w:sz="4" w:space="0"/>
              <w:left w:val="single" w:color="auto" w:sz="4" w:space="0"/>
              <w:bottom w:val="single" w:color="auto" w:sz="4" w:space="0"/>
              <w:right w:val="double" w:color="auto" w:sz="4" w:space="0"/>
            </w:tcBorders>
          </w:tcPr>
          <w:p>
            <w:pPr>
              <w:snapToGrid w:val="0"/>
              <w:spacing w:line="560" w:lineRule="exact"/>
              <w:rPr>
                <w:rFonts w:ascii="宋体" w:hAnsi="宋体"/>
                <w:b/>
                <w:sz w:val="24"/>
                <w:szCs w:val="24"/>
              </w:rPr>
            </w:pPr>
            <w:r>
              <w:rPr>
                <w:rFonts w:hint="eastAsia" w:ascii="宋体" w:hAnsi="宋体"/>
                <w:b/>
                <w:sz w:val="24"/>
                <w:szCs w:val="24"/>
              </w:rPr>
              <w:t>付款条件：</w:t>
            </w:r>
          </w:p>
          <w:p>
            <w:pPr>
              <w:spacing w:line="480" w:lineRule="exact"/>
              <w:jc w:val="left"/>
              <w:rPr>
                <w:rFonts w:ascii="宋体" w:hAnsi="宋体" w:cs="宋体"/>
                <w:bCs/>
                <w:kern w:val="0"/>
                <w:sz w:val="24"/>
                <w:szCs w:val="24"/>
              </w:rPr>
            </w:pPr>
            <w:r>
              <w:rPr>
                <w:rFonts w:hint="eastAsia" w:ascii="宋体" w:hAnsi="宋体" w:cs="宋体"/>
                <w:bCs/>
                <w:kern w:val="0"/>
                <w:sz w:val="24"/>
                <w:szCs w:val="24"/>
              </w:rPr>
              <w:t>甲方在每</w:t>
            </w:r>
            <w:r>
              <w:rPr>
                <w:rFonts w:hint="eastAsia" w:ascii="宋体" w:hAnsi="宋体" w:cs="宋体"/>
                <w:bCs/>
                <w:color w:val="000000" w:themeColor="text1"/>
                <w:kern w:val="0"/>
                <w:sz w:val="24"/>
                <w:szCs w:val="24"/>
              </w:rPr>
              <w:t>月</w:t>
            </w:r>
            <w:r>
              <w:rPr>
                <w:rFonts w:hint="eastAsia" w:ascii="宋体" w:hAnsi="宋体" w:cs="宋体"/>
                <w:bCs/>
                <w:kern w:val="0"/>
                <w:sz w:val="24"/>
                <w:szCs w:val="24"/>
              </w:rPr>
              <w:t>完成对乙方的考核后，根据考核结果，按时据实支付服务费，</w:t>
            </w:r>
            <w:r>
              <w:rPr>
                <w:rFonts w:hint="eastAsia" w:ascii="宋体" w:hAnsi="宋体" w:cs="宋体"/>
                <w:bCs/>
                <w:color w:val="000000" w:themeColor="text1"/>
                <w:kern w:val="0"/>
                <w:sz w:val="24"/>
                <w:szCs w:val="24"/>
              </w:rPr>
              <w:t>下一月的25日前支付上一月的费用。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30" w:hRule="atLeast"/>
        </w:trPr>
        <w:tc>
          <w:tcPr>
            <w:tcW w:w="1578" w:type="dxa"/>
            <w:tcBorders>
              <w:top w:val="single" w:color="auto" w:sz="4" w:space="0"/>
              <w:left w:val="double" w:color="auto" w:sz="4" w:space="0"/>
              <w:bottom w:val="doub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w:t>
            </w:r>
          </w:p>
        </w:tc>
        <w:tc>
          <w:tcPr>
            <w:tcW w:w="6950" w:type="dxa"/>
            <w:tcBorders>
              <w:top w:val="single" w:color="auto" w:sz="4" w:space="0"/>
              <w:left w:val="single" w:color="auto" w:sz="4" w:space="0"/>
              <w:bottom w:val="double" w:color="auto" w:sz="4" w:space="0"/>
              <w:right w:val="double" w:color="auto" w:sz="4" w:space="0"/>
            </w:tcBorders>
          </w:tcPr>
          <w:p>
            <w:pPr>
              <w:snapToGrid w:val="0"/>
              <w:spacing w:line="560" w:lineRule="exact"/>
              <w:rPr>
                <w:rFonts w:ascii="宋体" w:hAnsi="宋体"/>
                <w:b/>
                <w:sz w:val="24"/>
                <w:szCs w:val="24"/>
              </w:rPr>
            </w:pPr>
            <w:r>
              <w:rPr>
                <w:rFonts w:hint="eastAsia" w:ascii="宋体" w:hAnsi="宋体"/>
                <w:b/>
                <w:sz w:val="24"/>
                <w:szCs w:val="24"/>
              </w:rPr>
              <w:t>履约保证金：</w:t>
            </w:r>
          </w:p>
          <w:p>
            <w:pPr>
              <w:snapToGrid w:val="0"/>
              <w:spacing w:line="560" w:lineRule="exact"/>
              <w:rPr>
                <w:rFonts w:ascii="宋体" w:hAnsi="宋体"/>
                <w:sz w:val="24"/>
                <w:szCs w:val="24"/>
                <w:u w:val="single"/>
              </w:rPr>
            </w:pPr>
            <w:r>
              <w:rPr>
                <w:rFonts w:hint="eastAsia" w:ascii="宋体" w:hAnsi="宋体"/>
                <w:sz w:val="24"/>
                <w:szCs w:val="24"/>
              </w:rPr>
              <w:t>无</w:t>
            </w:r>
          </w:p>
        </w:tc>
      </w:tr>
    </w:tbl>
    <w:p>
      <w:pPr>
        <w:rPr>
          <w:rFonts w:ascii="宋体" w:hAnsi="宋体" w:cs="Arial"/>
          <w:b/>
          <w:sz w:val="24"/>
          <w:szCs w:val="24"/>
        </w:rPr>
      </w:pPr>
    </w:p>
    <w:p>
      <w:pPr>
        <w:rPr>
          <w:rFonts w:ascii="宋体" w:hAnsi="宋体" w:cs="Arial"/>
          <w:b/>
          <w:sz w:val="24"/>
          <w:szCs w:val="24"/>
        </w:rPr>
      </w:pPr>
    </w:p>
    <w:p>
      <w:pPr>
        <w:pStyle w:val="5"/>
        <w:jc w:val="center"/>
        <w:rPr>
          <w:rFonts w:ascii="新宋体" w:hAnsi="新宋体" w:eastAsia="新宋体" w:cs="新宋体"/>
          <w:b w:val="0"/>
          <w:bCs w:val="0"/>
        </w:rPr>
      </w:pPr>
    </w:p>
    <w:p>
      <w:pPr>
        <w:ind w:firstLine="1687" w:firstLineChars="600"/>
        <w:rPr>
          <w:rFonts w:ascii="宋体" w:hAnsi="宋体"/>
          <w:b/>
          <w:bCs/>
          <w:sz w:val="28"/>
          <w:szCs w:val="24"/>
        </w:rPr>
      </w:pPr>
      <w:bookmarkStart w:id="14" w:name="_Toc416948844"/>
      <w:r>
        <w:rPr>
          <w:rFonts w:hint="eastAsia" w:ascii="宋体" w:hAnsi="宋体"/>
          <w:b/>
          <w:bCs/>
          <w:sz w:val="28"/>
          <w:szCs w:val="24"/>
        </w:rPr>
        <w:t>2、合同格式</w:t>
      </w:r>
      <w:bookmarkEnd w:id="14"/>
      <w:r>
        <w:rPr>
          <w:rFonts w:hint="eastAsia" w:ascii="宋体" w:hAnsi="宋体"/>
          <w:b/>
          <w:bCs/>
          <w:sz w:val="28"/>
          <w:szCs w:val="24"/>
        </w:rPr>
        <w:t>（参考）</w:t>
      </w:r>
    </w:p>
    <w:p>
      <w:pPr>
        <w:jc w:val="center"/>
        <w:rPr>
          <w:rFonts w:ascii="仿宋_GB2312" w:hAnsi="宋体" w:eastAsia="仿宋_GB2312"/>
          <w:b/>
          <w:sz w:val="32"/>
          <w:szCs w:val="32"/>
        </w:rPr>
      </w:pPr>
      <w:r>
        <w:rPr>
          <w:rFonts w:hint="eastAsia" w:ascii="仿宋_GB2312" w:hAnsi="宋体" w:eastAsia="仿宋_GB2312"/>
          <w:b/>
          <w:sz w:val="32"/>
          <w:szCs w:val="32"/>
        </w:rPr>
        <w:t>服务合同</w:t>
      </w:r>
    </w:p>
    <w:p>
      <w:pPr>
        <w:spacing w:line="480" w:lineRule="exact"/>
        <w:jc w:val="right"/>
        <w:rPr>
          <w:rFonts w:ascii="宋体" w:hAnsi="宋体"/>
          <w:sz w:val="24"/>
        </w:rPr>
      </w:pPr>
      <w:r>
        <w:rPr>
          <w:rFonts w:hint="eastAsia" w:ascii="宋体" w:hAnsi="宋体"/>
          <w:sz w:val="24"/>
        </w:rPr>
        <w:t xml:space="preserve">项目编号：  </w:t>
      </w:r>
    </w:p>
    <w:p>
      <w:pPr>
        <w:spacing w:line="480" w:lineRule="exact"/>
        <w:rPr>
          <w:rFonts w:ascii="宋体" w:hAnsi="宋体"/>
          <w:sz w:val="24"/>
          <w:szCs w:val="24"/>
          <w:u w:val="single"/>
        </w:rPr>
      </w:pPr>
      <w:r>
        <w:rPr>
          <w:rFonts w:hint="eastAsia" w:ascii="宋体" w:hAnsi="宋体"/>
          <w:b/>
          <w:sz w:val="24"/>
          <w:szCs w:val="24"/>
        </w:rPr>
        <w:t>甲  方（供方）：</w:t>
      </w:r>
      <w:r>
        <w:rPr>
          <w:rFonts w:hint="eastAsia" w:ascii="宋体" w:hAnsi="宋体"/>
          <w:sz w:val="24"/>
          <w:szCs w:val="24"/>
        </w:rPr>
        <w:t xml:space="preserve">                         电话：</w:t>
      </w:r>
    </w:p>
    <w:p>
      <w:pPr>
        <w:spacing w:line="480" w:lineRule="exact"/>
        <w:rPr>
          <w:rFonts w:ascii="宋体" w:hAnsi="宋体"/>
          <w:sz w:val="24"/>
          <w:szCs w:val="24"/>
          <w:u w:val="single"/>
        </w:rPr>
      </w:pPr>
      <w:r>
        <w:rPr>
          <w:rFonts w:hint="eastAsia" w:ascii="宋体" w:hAnsi="宋体"/>
          <w:b/>
          <w:sz w:val="24"/>
          <w:szCs w:val="24"/>
        </w:rPr>
        <w:t xml:space="preserve">乙  方（需方）：            </w:t>
      </w:r>
      <w:r>
        <w:rPr>
          <w:rFonts w:hint="eastAsia" w:ascii="宋体" w:hAnsi="宋体"/>
          <w:sz w:val="24"/>
          <w:szCs w:val="24"/>
        </w:rPr>
        <w:t xml:space="preserve">             电话： </w:t>
      </w: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r>
        <w:rPr>
          <w:rFonts w:hint="eastAsia" w:ascii="宋体" w:hAnsi="宋体"/>
          <w:sz w:val="24"/>
          <w:szCs w:val="24"/>
        </w:rPr>
        <w:t>甲方（章）：</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乙方（章）：</w:t>
      </w:r>
    </w:p>
    <w:p>
      <w:pPr>
        <w:jc w:val="left"/>
        <w:rPr>
          <w:rFonts w:ascii="宋体" w:hAnsi="宋体"/>
          <w:sz w:val="24"/>
          <w:szCs w:val="24"/>
        </w:rPr>
      </w:pPr>
      <w:r>
        <w:rPr>
          <w:rFonts w:hint="eastAsia" w:ascii="宋体" w:hAnsi="宋体"/>
          <w:sz w:val="24"/>
          <w:szCs w:val="24"/>
        </w:rPr>
        <w:t>法人代表：</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法人代表：</w:t>
      </w:r>
    </w:p>
    <w:p>
      <w:pPr>
        <w:jc w:val="left"/>
        <w:rPr>
          <w:rFonts w:ascii="宋体" w:hAnsi="宋体"/>
          <w:sz w:val="24"/>
          <w:szCs w:val="24"/>
        </w:rPr>
      </w:pPr>
      <w:r>
        <w:rPr>
          <w:rFonts w:hint="eastAsia" w:ascii="宋体" w:hAnsi="宋体"/>
          <w:sz w:val="24"/>
          <w:szCs w:val="24"/>
        </w:rPr>
        <w:t>委托代理人：</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委托代理人：</w:t>
      </w:r>
    </w:p>
    <w:p>
      <w:pPr>
        <w:jc w:val="left"/>
        <w:rPr>
          <w:rFonts w:ascii="宋体" w:hAnsi="宋体"/>
          <w:sz w:val="24"/>
          <w:szCs w:val="24"/>
        </w:rPr>
      </w:pPr>
      <w:r>
        <w:rPr>
          <w:rFonts w:hint="eastAsia" w:ascii="宋体" w:hAnsi="宋体"/>
          <w:sz w:val="24"/>
          <w:szCs w:val="24"/>
        </w:rPr>
        <w:t>签订日期：</w:t>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ab/>
      </w:r>
      <w:r>
        <w:rPr>
          <w:rFonts w:hint="eastAsia" w:ascii="宋体" w:hAnsi="宋体"/>
          <w:sz w:val="24"/>
          <w:szCs w:val="24"/>
        </w:rPr>
        <w:t>签订日期：</w:t>
      </w:r>
    </w:p>
    <w:p>
      <w:pPr>
        <w:jc w:val="left"/>
        <w:rPr>
          <w:rFonts w:ascii="宋体" w:hAnsi="宋体"/>
          <w:sz w:val="24"/>
          <w:szCs w:val="24"/>
        </w:rPr>
      </w:pPr>
    </w:p>
    <w:p>
      <w:pPr>
        <w:jc w:val="left"/>
        <w:rPr>
          <w:rFonts w:ascii="宋体" w:hAnsi="宋体"/>
          <w:sz w:val="24"/>
          <w:szCs w:val="24"/>
        </w:rPr>
      </w:pPr>
    </w:p>
    <w:p>
      <w:pPr>
        <w:jc w:val="left"/>
        <w:rPr>
          <w:rFonts w:ascii="宋体" w:hAnsi="宋体"/>
          <w:sz w:val="24"/>
          <w:szCs w:val="24"/>
        </w:rPr>
      </w:pPr>
    </w:p>
    <w:p>
      <w:pPr>
        <w:wordWrap w:val="0"/>
        <w:spacing w:line="480" w:lineRule="exact"/>
        <w:ind w:right="420"/>
        <w:rPr>
          <w:rFonts w:ascii="宋体" w:hAnsi="宋体"/>
          <w:szCs w:val="21"/>
        </w:rPr>
      </w:pPr>
    </w:p>
    <w:p>
      <w:pPr>
        <w:pStyle w:val="2"/>
        <w:numPr>
          <w:ilvl w:val="0"/>
          <w:numId w:val="0"/>
        </w:numPr>
        <w:ind w:firstLine="2409" w:firstLineChars="600"/>
        <w:rPr>
          <w:rFonts w:ascii="宋体" w:hAnsi="宋体" w:eastAsia="宋体"/>
          <w:b/>
          <w:bCs/>
          <w:sz w:val="40"/>
          <w:szCs w:val="40"/>
        </w:rPr>
      </w:pPr>
      <w:bookmarkStart w:id="15" w:name="_Toc21155"/>
      <w:r>
        <w:rPr>
          <w:rFonts w:hint="eastAsia" w:ascii="宋体" w:hAnsi="宋体" w:eastAsia="宋体"/>
          <w:b/>
          <w:bCs/>
          <w:sz w:val="40"/>
          <w:szCs w:val="40"/>
        </w:rPr>
        <w:t>四、项目需求</w:t>
      </w:r>
      <w:bookmarkEnd w:id="15"/>
    </w:p>
    <w:p>
      <w:pPr>
        <w:rPr>
          <w:b/>
          <w:sz w:val="24"/>
          <w:szCs w:val="24"/>
        </w:rPr>
      </w:pPr>
      <w:r>
        <w:rPr>
          <w:rFonts w:hint="eastAsia"/>
          <w:b/>
          <w:sz w:val="24"/>
          <w:szCs w:val="24"/>
        </w:rPr>
        <w:t>（一）基本概况：</w:t>
      </w:r>
    </w:p>
    <w:p>
      <w:pPr>
        <w:widowControl/>
        <w:shd w:val="clear" w:color="auto" w:fill="FFFFFF"/>
        <w:spacing w:line="560" w:lineRule="exact"/>
        <w:ind w:firstLine="240" w:firstLineChars="100"/>
        <w:jc w:val="left"/>
        <w:rPr>
          <w:rFonts w:ascii="宋体" w:hAnsi="宋体" w:cs="宋体"/>
          <w:sz w:val="24"/>
          <w:szCs w:val="24"/>
        </w:rPr>
      </w:pPr>
      <w:r>
        <w:rPr>
          <w:rFonts w:hint="eastAsia" w:ascii="宋体" w:hAnsi="宋体" w:cs="宋体"/>
          <w:sz w:val="24"/>
          <w:szCs w:val="24"/>
        </w:rPr>
        <w:t>1、范围：</w:t>
      </w:r>
      <w:r>
        <w:rPr>
          <w:rFonts w:hint="eastAsia" w:ascii="宋体" w:hAnsi="宋体" w:cs="宋体"/>
          <w:color w:val="000000"/>
          <w:kern w:val="0"/>
          <w:sz w:val="24"/>
          <w:szCs w:val="24"/>
        </w:rPr>
        <w:t>包括治安防范、消防安全、医患纠纷处置等突发事件、各管辖范围内及病区医疗秩序维护、消防及治安视频监控、全院范围内的人员、全院各种设备设施、包括人防、技防、物防等等安全安保、消防安全的管理工作。</w:t>
      </w:r>
    </w:p>
    <w:p>
      <w:pPr>
        <w:spacing w:line="500" w:lineRule="exact"/>
        <w:ind w:firstLine="241" w:firstLineChars="100"/>
        <w:rPr>
          <w:rFonts w:ascii="宋体" w:hAnsi="宋体" w:cs="宋体"/>
          <w:color w:val="000000"/>
          <w:sz w:val="24"/>
          <w:szCs w:val="24"/>
        </w:rPr>
      </w:pPr>
      <w:r>
        <w:rPr>
          <w:rFonts w:hint="eastAsia" w:ascii="宋体" w:hAnsi="宋体" w:cs="宋体"/>
          <w:b/>
          <w:bCs/>
          <w:sz w:val="24"/>
          <w:szCs w:val="24"/>
        </w:rPr>
        <w:t>2、</w:t>
      </w:r>
      <w:r>
        <w:rPr>
          <w:rFonts w:hint="eastAsia" w:ascii="宋体" w:hAnsi="宋体" w:cs="宋体"/>
          <w:b/>
          <w:bCs/>
          <w:color w:val="000000"/>
          <w:sz w:val="24"/>
          <w:szCs w:val="24"/>
        </w:rPr>
        <w:t>岗位设置：</w:t>
      </w:r>
    </w:p>
    <w:tbl>
      <w:tblPr>
        <w:tblStyle w:val="41"/>
        <w:tblW w:w="80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6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152"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序号</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岗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1</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项目驻点队长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2</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固定岗人员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3</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巡逻人员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1152" w:type="dxa"/>
            <w:vAlign w:val="center"/>
          </w:tcPr>
          <w:p>
            <w:pPr>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4</w:t>
            </w:r>
          </w:p>
        </w:tc>
        <w:tc>
          <w:tcPr>
            <w:tcW w:w="6890" w:type="dxa"/>
            <w:vAlign w:val="center"/>
          </w:tcPr>
          <w:p>
            <w:pPr>
              <w:widowControl/>
              <w:adjustRightInd w:val="0"/>
              <w:spacing w:line="360" w:lineRule="auto"/>
              <w:jc w:val="center"/>
              <w:rPr>
                <w:rFonts w:ascii="新宋体" w:hAnsi="新宋体" w:eastAsia="新宋体" w:cs="新宋体"/>
                <w:b/>
                <w:bCs/>
                <w:kern w:val="0"/>
                <w:sz w:val="24"/>
              </w:rPr>
            </w:pPr>
            <w:r>
              <w:rPr>
                <w:rFonts w:hint="eastAsia" w:ascii="新宋体" w:hAnsi="新宋体" w:eastAsia="新宋体" w:cs="新宋体"/>
                <w:b/>
                <w:bCs/>
                <w:kern w:val="0"/>
                <w:sz w:val="24"/>
              </w:rPr>
              <w:t>微型消防站人员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152" w:type="dxa"/>
            <w:vAlign w:val="center"/>
          </w:tcPr>
          <w:p>
            <w:pPr>
              <w:jc w:val="center"/>
              <w:rPr>
                <w:rFonts w:ascii="新宋体" w:hAnsi="新宋体" w:eastAsia="新宋体" w:cs="新宋体"/>
                <w:b/>
                <w:bCs/>
                <w:sz w:val="24"/>
                <w:szCs w:val="24"/>
              </w:rPr>
            </w:pPr>
            <w:r>
              <w:rPr>
                <w:rFonts w:hint="eastAsia" w:ascii="新宋体" w:hAnsi="新宋体" w:eastAsia="新宋体" w:cs="新宋体"/>
                <w:b/>
                <w:bCs/>
                <w:sz w:val="24"/>
                <w:szCs w:val="24"/>
              </w:rPr>
              <w:t>5</w:t>
            </w:r>
          </w:p>
        </w:tc>
        <w:tc>
          <w:tcPr>
            <w:tcW w:w="6890" w:type="dxa"/>
            <w:vAlign w:val="center"/>
          </w:tcPr>
          <w:p>
            <w:pPr>
              <w:ind w:firstLine="1446" w:firstLineChars="600"/>
              <w:jc w:val="left"/>
              <w:rPr>
                <w:rFonts w:ascii="新宋体" w:hAnsi="新宋体" w:eastAsia="新宋体" w:cs="新宋体"/>
                <w:b/>
                <w:bCs/>
                <w:sz w:val="24"/>
                <w:szCs w:val="24"/>
              </w:rPr>
            </w:pPr>
            <w:r>
              <w:rPr>
                <w:rFonts w:hint="eastAsia" w:ascii="新宋体" w:hAnsi="新宋体" w:eastAsia="新宋体" w:cs="新宋体"/>
                <w:b/>
                <w:bCs/>
                <w:sz w:val="24"/>
                <w:szCs w:val="24"/>
              </w:rPr>
              <w:t>医院消防中控室监控室消防员</w:t>
            </w:r>
          </w:p>
        </w:tc>
      </w:tr>
    </w:tbl>
    <w:p>
      <w:pPr>
        <w:spacing w:line="500" w:lineRule="exact"/>
        <w:ind w:firstLine="240" w:firstLineChars="100"/>
        <w:rPr>
          <w:rFonts w:ascii="宋体" w:hAnsi="宋体" w:cs="宋体"/>
          <w:color w:val="000000"/>
          <w:sz w:val="24"/>
          <w:szCs w:val="24"/>
        </w:rPr>
      </w:pPr>
    </w:p>
    <w:p>
      <w:pPr>
        <w:jc w:val="left"/>
        <w:rPr>
          <w:rFonts w:ascii="宋体" w:hAnsi="宋体" w:cs="Arial"/>
          <w:sz w:val="24"/>
          <w:szCs w:val="24"/>
        </w:rPr>
      </w:pPr>
      <w:r>
        <w:rPr>
          <w:rFonts w:hint="eastAsia" w:ascii="宋体" w:hAnsi="宋体" w:cs="Arial"/>
          <w:sz w:val="24"/>
          <w:szCs w:val="24"/>
        </w:rPr>
        <w:t>二）人员条件及数量要求：</w:t>
      </w:r>
    </w:p>
    <w:p>
      <w:pPr>
        <w:jc w:val="left"/>
        <w:rPr>
          <w:rFonts w:ascii="宋体" w:hAnsi="宋体" w:cs="Arial"/>
          <w:sz w:val="24"/>
          <w:szCs w:val="24"/>
        </w:rPr>
      </w:pPr>
      <w:r>
        <w:rPr>
          <w:rFonts w:hint="eastAsia" w:ascii="宋体" w:hAnsi="宋体" w:cs="Arial"/>
          <w:sz w:val="24"/>
          <w:szCs w:val="24"/>
        </w:rPr>
        <w:t>1、人员条件要求：</w:t>
      </w:r>
    </w:p>
    <w:p>
      <w:pPr>
        <w:jc w:val="left"/>
        <w:rPr>
          <w:rFonts w:ascii="宋体" w:hAnsi="宋体" w:cs="Arial"/>
          <w:sz w:val="24"/>
          <w:szCs w:val="24"/>
        </w:rPr>
      </w:pPr>
      <w:r>
        <w:rPr>
          <w:rFonts w:hint="eastAsia" w:ascii="宋体" w:hAnsi="宋体" w:cs="Arial"/>
          <w:sz w:val="24"/>
          <w:szCs w:val="24"/>
        </w:rPr>
        <w:t>（1）项目经理的要求：</w:t>
      </w:r>
    </w:p>
    <w:p>
      <w:pPr>
        <w:jc w:val="left"/>
        <w:rPr>
          <w:rFonts w:ascii="宋体" w:hAnsi="宋体" w:cs="Arial"/>
          <w:sz w:val="24"/>
          <w:szCs w:val="24"/>
        </w:rPr>
      </w:pPr>
      <w:r>
        <w:rPr>
          <w:rFonts w:hint="eastAsia" w:ascii="宋体" w:hAnsi="宋体" w:cs="Arial"/>
          <w:sz w:val="24"/>
          <w:szCs w:val="24"/>
        </w:rPr>
        <w:t xml:space="preserve">    ①50周岁以下，男性，应具备高中及以上学历，经历过军旅生活或从事保安行业五年以上，受过专门的保安业务培训并取得从业资格。</w:t>
      </w:r>
    </w:p>
    <w:p>
      <w:pPr>
        <w:jc w:val="left"/>
        <w:rPr>
          <w:rFonts w:ascii="宋体" w:hAnsi="宋体" w:cs="Arial"/>
          <w:sz w:val="24"/>
          <w:szCs w:val="24"/>
        </w:rPr>
      </w:pPr>
      <w:r>
        <w:rPr>
          <w:rFonts w:hint="eastAsia" w:ascii="宋体" w:hAnsi="宋体" w:cs="Arial"/>
          <w:sz w:val="24"/>
          <w:szCs w:val="24"/>
        </w:rPr>
        <w:t>②有较高的政治思想素养和业务水平，以身作则、吃苦在先、讲求奉献；有较强的组织管理和协调能力。</w:t>
      </w:r>
    </w:p>
    <w:p>
      <w:pPr>
        <w:jc w:val="left"/>
        <w:rPr>
          <w:rFonts w:ascii="宋体" w:hAnsi="宋体" w:cs="Arial"/>
          <w:sz w:val="24"/>
          <w:szCs w:val="24"/>
        </w:rPr>
      </w:pPr>
      <w:r>
        <w:rPr>
          <w:rFonts w:hint="eastAsia" w:ascii="宋体" w:hAnsi="宋体" w:cs="Arial"/>
          <w:sz w:val="24"/>
          <w:szCs w:val="24"/>
        </w:rPr>
        <w:t xml:space="preserve">    ③能贯彻落实公司和医院安保工作要求与工作安排，组织实施院区安保工作方案，组织落实医院安保任务。</w:t>
      </w:r>
    </w:p>
    <w:p>
      <w:pPr>
        <w:jc w:val="left"/>
        <w:rPr>
          <w:rFonts w:ascii="宋体" w:hAnsi="宋体" w:cs="Arial"/>
          <w:sz w:val="24"/>
          <w:szCs w:val="24"/>
        </w:rPr>
      </w:pPr>
      <w:r>
        <w:rPr>
          <w:rFonts w:hint="eastAsia" w:ascii="宋体" w:hAnsi="宋体" w:cs="Arial"/>
          <w:sz w:val="24"/>
          <w:szCs w:val="24"/>
        </w:rPr>
        <w:t xml:space="preserve">    ④负责保安队伍的日常管理和培训，督促检查在岗人员履行岗位职责，纠正队员违规违纪行为，形成良好的队风。</w:t>
      </w:r>
    </w:p>
    <w:p>
      <w:pPr>
        <w:jc w:val="left"/>
        <w:rPr>
          <w:rFonts w:ascii="宋体" w:hAnsi="宋体" w:cs="Arial"/>
          <w:sz w:val="24"/>
          <w:szCs w:val="24"/>
        </w:rPr>
      </w:pPr>
      <w:r>
        <w:rPr>
          <w:rFonts w:hint="eastAsia" w:ascii="宋体" w:hAnsi="宋体" w:cs="Arial"/>
          <w:sz w:val="24"/>
          <w:szCs w:val="24"/>
        </w:rPr>
        <w:t xml:space="preserve">    ⑤负责协调处理各岗位的突发事件，重大情况及时报告。</w:t>
      </w:r>
    </w:p>
    <w:p>
      <w:pPr>
        <w:jc w:val="left"/>
        <w:rPr>
          <w:rFonts w:ascii="宋体" w:hAnsi="宋体" w:cs="Arial"/>
          <w:sz w:val="24"/>
          <w:szCs w:val="24"/>
        </w:rPr>
      </w:pPr>
      <w:r>
        <w:rPr>
          <w:rFonts w:hint="eastAsia" w:ascii="宋体" w:hAnsi="宋体" w:cs="Arial"/>
          <w:sz w:val="24"/>
          <w:szCs w:val="24"/>
        </w:rPr>
        <w:t xml:space="preserve">    ⑥组织指挥保安队员做好医院重大活动的安保与秩序保障工作。</w:t>
      </w:r>
    </w:p>
    <w:p>
      <w:pPr>
        <w:jc w:val="left"/>
        <w:rPr>
          <w:rFonts w:ascii="宋体" w:hAnsi="宋体" w:cs="Arial"/>
          <w:sz w:val="24"/>
          <w:szCs w:val="24"/>
        </w:rPr>
      </w:pPr>
      <w:r>
        <w:rPr>
          <w:rFonts w:hint="eastAsia" w:ascii="宋体" w:hAnsi="宋体" w:cs="Arial"/>
          <w:sz w:val="24"/>
          <w:szCs w:val="24"/>
        </w:rPr>
        <w:t xml:space="preserve">    ⑦参与保安值勤，经常检查，增援重点岗位。</w:t>
      </w:r>
    </w:p>
    <w:p>
      <w:pPr>
        <w:jc w:val="left"/>
        <w:rPr>
          <w:rFonts w:ascii="宋体" w:hAnsi="宋体" w:cs="Arial"/>
          <w:sz w:val="24"/>
          <w:szCs w:val="24"/>
        </w:rPr>
      </w:pPr>
      <w:r>
        <w:rPr>
          <w:rFonts w:hint="eastAsia" w:ascii="宋体" w:hAnsi="宋体" w:cs="Arial"/>
          <w:sz w:val="24"/>
          <w:szCs w:val="24"/>
        </w:rPr>
        <w:t xml:space="preserve">    ⑧将各岗位的执勤、工作情况进行汇总、分析。</w:t>
      </w:r>
    </w:p>
    <w:p>
      <w:pPr>
        <w:jc w:val="left"/>
        <w:rPr>
          <w:rFonts w:ascii="宋体" w:hAnsi="宋体" w:cs="Arial"/>
          <w:sz w:val="24"/>
          <w:szCs w:val="24"/>
        </w:rPr>
      </w:pPr>
      <w:r>
        <w:rPr>
          <w:rFonts w:hint="eastAsia" w:ascii="宋体" w:hAnsi="宋体" w:cs="Arial"/>
          <w:sz w:val="24"/>
          <w:szCs w:val="24"/>
        </w:rPr>
        <w:t xml:space="preserve">    ⑨与医院安保科加强沟通和联系。</w:t>
      </w:r>
    </w:p>
    <w:p>
      <w:pPr>
        <w:jc w:val="left"/>
        <w:rPr>
          <w:rFonts w:ascii="宋体" w:hAnsi="宋体" w:cs="Arial"/>
          <w:sz w:val="24"/>
          <w:szCs w:val="24"/>
        </w:rPr>
      </w:pPr>
      <w:r>
        <w:rPr>
          <w:rFonts w:hint="eastAsia" w:ascii="宋体" w:hAnsi="宋体" w:cs="Arial"/>
          <w:sz w:val="24"/>
          <w:szCs w:val="24"/>
        </w:rPr>
        <w:t>（2）保安人员要求：</w:t>
      </w:r>
    </w:p>
    <w:p>
      <w:pPr>
        <w:jc w:val="left"/>
        <w:rPr>
          <w:rFonts w:ascii="宋体" w:hAnsi="宋体" w:cs="Arial"/>
          <w:sz w:val="24"/>
          <w:szCs w:val="24"/>
        </w:rPr>
      </w:pPr>
      <w:r>
        <w:rPr>
          <w:rFonts w:hint="eastAsia" w:ascii="宋体" w:hAnsi="宋体" w:cs="Arial"/>
          <w:sz w:val="24"/>
          <w:szCs w:val="24"/>
        </w:rPr>
        <w:t>①男性，身高1.65米及以上，</w:t>
      </w:r>
      <w:r>
        <w:rPr>
          <w:rFonts w:hint="eastAsia" w:ascii="宋体" w:hAnsi="宋体" w:cs="Arial"/>
          <w:color w:val="000000" w:themeColor="text1"/>
          <w:sz w:val="24"/>
          <w:szCs w:val="24"/>
        </w:rPr>
        <w:t>55周岁以下（</w:t>
      </w:r>
      <w:r>
        <w:rPr>
          <w:rFonts w:hint="eastAsia" w:ascii="宋体" w:hAnsi="宋体" w:cs="Arial"/>
          <w:sz w:val="24"/>
          <w:szCs w:val="24"/>
        </w:rPr>
        <w:t>45周岁以下人员需至少占80%）具有高中以上文化程度。必须经过保安培训持证上岗，无犯罪前科，身体健康，五官端正，矫正视力1.0以上。</w:t>
      </w:r>
    </w:p>
    <w:p>
      <w:pPr>
        <w:jc w:val="left"/>
        <w:rPr>
          <w:rFonts w:ascii="宋体" w:hAnsi="宋体" w:cs="Arial"/>
          <w:sz w:val="24"/>
          <w:szCs w:val="24"/>
        </w:rPr>
      </w:pPr>
      <w:r>
        <w:rPr>
          <w:rFonts w:hint="eastAsia" w:ascii="宋体" w:hAnsi="宋体" w:cs="Arial"/>
          <w:sz w:val="24"/>
          <w:szCs w:val="24"/>
        </w:rPr>
        <w:t>②反应速度灵敏，能够及时应变应急事件处理。</w:t>
      </w:r>
    </w:p>
    <w:p>
      <w:pPr>
        <w:jc w:val="left"/>
        <w:rPr>
          <w:rFonts w:ascii="宋体" w:hAnsi="宋体" w:cs="Arial"/>
          <w:sz w:val="24"/>
          <w:szCs w:val="24"/>
        </w:rPr>
      </w:pPr>
      <w:r>
        <w:rPr>
          <w:rFonts w:hint="eastAsia" w:ascii="宋体" w:hAnsi="宋体" w:cs="Arial"/>
          <w:sz w:val="24"/>
          <w:szCs w:val="24"/>
        </w:rPr>
        <w:t>③有较高的政治思想素养和业务水平，以身作则、吃苦在先、讲求奉献。必须经过保安培训持证上岗，无犯罪前科，身体健康，五官端正，具有初中以上文化程度，矫正势力1.0以上。根据岗位确定具体要求为：</w:t>
      </w:r>
    </w:p>
    <w:p>
      <w:pPr>
        <w:jc w:val="left"/>
        <w:rPr>
          <w:rFonts w:ascii="宋体" w:hAnsi="宋体" w:cs="Arial"/>
          <w:sz w:val="24"/>
          <w:szCs w:val="24"/>
        </w:rPr>
      </w:pPr>
      <w:r>
        <w:rPr>
          <w:rFonts w:hint="eastAsia" w:ascii="宋体" w:hAnsi="宋体" w:cs="Arial"/>
          <w:sz w:val="24"/>
          <w:szCs w:val="24"/>
        </w:rPr>
        <w:t>④消防监控员：50周岁以下，必须全部具备专业岗位证书（提供原件备查），本岗位1年以上工作经验（提供相关证明材料）。</w:t>
      </w:r>
    </w:p>
    <w:p>
      <w:pPr>
        <w:jc w:val="left"/>
        <w:rPr>
          <w:rFonts w:ascii="宋体" w:hAnsi="宋体" w:cs="Arial"/>
          <w:sz w:val="24"/>
          <w:szCs w:val="24"/>
        </w:rPr>
      </w:pPr>
      <w:r>
        <w:rPr>
          <w:rFonts w:hint="eastAsia" w:ascii="宋体" w:hAnsi="宋体" w:cs="Arial"/>
          <w:sz w:val="24"/>
          <w:szCs w:val="24"/>
        </w:rPr>
        <w:t>（4）装备配备：</w:t>
      </w:r>
    </w:p>
    <w:p>
      <w:pPr>
        <w:jc w:val="left"/>
        <w:rPr>
          <w:rFonts w:ascii="宋体" w:hAnsi="宋体" w:cs="Arial"/>
          <w:sz w:val="24"/>
          <w:szCs w:val="24"/>
        </w:rPr>
      </w:pPr>
      <w:r>
        <w:rPr>
          <w:rFonts w:hint="eastAsia" w:ascii="宋体" w:hAnsi="宋体" w:cs="Arial"/>
          <w:sz w:val="24"/>
          <w:szCs w:val="24"/>
        </w:rPr>
        <w:t>应该根据保安服务岗位的需要为保安员配备执勤所需的交通、通信、防卫、防护等装备器材。</w:t>
      </w:r>
    </w:p>
    <w:p>
      <w:pPr>
        <w:jc w:val="left"/>
        <w:rPr>
          <w:rFonts w:ascii="宋体" w:hAnsi="宋体" w:cs="Arial"/>
          <w:sz w:val="24"/>
          <w:szCs w:val="24"/>
        </w:rPr>
      </w:pPr>
      <w:r>
        <w:rPr>
          <w:rFonts w:hint="eastAsia" w:ascii="宋体" w:hAnsi="宋体" w:cs="Arial"/>
          <w:sz w:val="24"/>
          <w:szCs w:val="24"/>
        </w:rPr>
        <w:t xml:space="preserve">    2、人员数量要求：</w:t>
      </w:r>
    </w:p>
    <w:p>
      <w:pPr>
        <w:jc w:val="left"/>
        <w:rPr>
          <w:rFonts w:ascii="宋体" w:hAnsi="宋体" w:cs="Arial"/>
          <w:sz w:val="24"/>
          <w:szCs w:val="24"/>
        </w:rPr>
      </w:pPr>
      <w:r>
        <w:rPr>
          <w:rFonts w:hint="eastAsia" w:ascii="宋体" w:hAnsi="宋体" w:cs="Arial"/>
          <w:sz w:val="24"/>
          <w:szCs w:val="24"/>
        </w:rPr>
        <w:t xml:space="preserve">   （1）中标人必须按岗位人数和工作时间要求和投标承诺，配齐保安队员，并保证满员上岗、实际到岗。</w:t>
      </w:r>
    </w:p>
    <w:p>
      <w:pPr>
        <w:jc w:val="left"/>
        <w:rPr>
          <w:rFonts w:ascii="宋体" w:hAnsi="宋体" w:cs="Arial"/>
          <w:sz w:val="24"/>
          <w:szCs w:val="24"/>
        </w:rPr>
      </w:pPr>
      <w:r>
        <w:rPr>
          <w:rFonts w:hint="eastAsia" w:ascii="宋体" w:hAnsi="宋体" w:cs="Arial"/>
          <w:sz w:val="24"/>
          <w:szCs w:val="24"/>
        </w:rPr>
        <w:t xml:space="preserve">   （2）中标人在组织、安排保安人员工作时，应符合国家相关法规，乙方对其用工行为承担一切法律责任。</w:t>
      </w:r>
    </w:p>
    <w:p>
      <w:pPr>
        <w:jc w:val="left"/>
        <w:rPr>
          <w:rFonts w:ascii="宋体" w:hAnsi="宋体" w:cs="Arial"/>
          <w:sz w:val="24"/>
          <w:szCs w:val="24"/>
        </w:rPr>
      </w:pPr>
      <w:r>
        <w:rPr>
          <w:rFonts w:hint="eastAsia" w:ascii="宋体" w:hAnsi="宋体" w:cs="Arial"/>
          <w:sz w:val="24"/>
          <w:szCs w:val="24"/>
        </w:rPr>
        <w:t xml:space="preserve">   （3）中标人不按照合约规定配齐保安人员，医院有权提出异议直至终止合同。</w:t>
      </w:r>
    </w:p>
    <w:p>
      <w:pPr>
        <w:jc w:val="left"/>
        <w:rPr>
          <w:rFonts w:ascii="宋体" w:hAnsi="宋体" w:cs="Arial"/>
          <w:sz w:val="24"/>
          <w:szCs w:val="24"/>
        </w:rPr>
      </w:pPr>
      <w:r>
        <w:rPr>
          <w:rFonts w:hint="eastAsia" w:ascii="宋体" w:hAnsi="宋体" w:cs="Arial"/>
          <w:sz w:val="24"/>
          <w:szCs w:val="24"/>
        </w:rPr>
        <w:t xml:space="preserve">    （三）服务及管理要求：</w:t>
      </w:r>
    </w:p>
    <w:p>
      <w:pPr>
        <w:jc w:val="left"/>
        <w:rPr>
          <w:rFonts w:ascii="宋体" w:hAnsi="宋体" w:cs="Arial"/>
          <w:sz w:val="24"/>
          <w:szCs w:val="24"/>
        </w:rPr>
      </w:pPr>
      <w:r>
        <w:rPr>
          <w:rFonts w:hint="eastAsia" w:ascii="宋体" w:hAnsi="宋体" w:cs="Arial"/>
          <w:sz w:val="24"/>
          <w:szCs w:val="24"/>
        </w:rPr>
        <w:t>1、服务要求：</w:t>
      </w:r>
    </w:p>
    <w:p>
      <w:pPr>
        <w:jc w:val="left"/>
        <w:rPr>
          <w:rFonts w:ascii="宋体" w:hAnsi="宋体" w:cs="Arial"/>
          <w:sz w:val="24"/>
          <w:szCs w:val="24"/>
        </w:rPr>
      </w:pPr>
      <w:r>
        <w:rPr>
          <w:rFonts w:hint="eastAsia" w:ascii="宋体" w:hAnsi="宋体" w:cs="Arial"/>
          <w:sz w:val="24"/>
          <w:szCs w:val="24"/>
        </w:rPr>
        <w:t xml:space="preserve">（1）中标人负责院区内治安、消防、巡逻、车辆管理等服务。 </w:t>
      </w:r>
    </w:p>
    <w:p>
      <w:pPr>
        <w:jc w:val="left"/>
        <w:rPr>
          <w:rFonts w:ascii="宋体" w:hAnsi="宋体" w:cs="Arial"/>
          <w:sz w:val="24"/>
          <w:szCs w:val="24"/>
        </w:rPr>
      </w:pPr>
      <w:r>
        <w:rPr>
          <w:rFonts w:hint="eastAsia" w:ascii="宋体" w:hAnsi="宋体" w:cs="Arial"/>
          <w:sz w:val="24"/>
          <w:szCs w:val="24"/>
        </w:rPr>
        <w:t>（2）应根据院方岗位需求派选保安人员上岗，并负责保安员的培训、日常考核与管理；上岗时，必须统一身着保安服装，佩戴标志。</w:t>
      </w:r>
    </w:p>
    <w:p>
      <w:pPr>
        <w:jc w:val="left"/>
        <w:rPr>
          <w:rFonts w:ascii="宋体" w:hAnsi="宋体" w:cs="Arial"/>
          <w:sz w:val="24"/>
          <w:szCs w:val="24"/>
        </w:rPr>
      </w:pPr>
      <w:r>
        <w:rPr>
          <w:rFonts w:hint="eastAsia" w:ascii="宋体" w:hAnsi="宋体" w:cs="Arial"/>
          <w:sz w:val="24"/>
          <w:szCs w:val="24"/>
        </w:rPr>
        <w:t xml:space="preserve"> （3）保安员应严格履行岗位职责，遵守各项规章制度，忠于职守，文明执勤，认真履行《保安服务管理条例》规定的保安员职责和《保安员岗位职责》等相关规定。</w:t>
      </w:r>
    </w:p>
    <w:p>
      <w:pPr>
        <w:jc w:val="left"/>
        <w:rPr>
          <w:rFonts w:ascii="宋体" w:hAnsi="宋体" w:cs="Arial"/>
          <w:sz w:val="24"/>
          <w:szCs w:val="24"/>
        </w:rPr>
      </w:pPr>
      <w:r>
        <w:rPr>
          <w:rFonts w:hint="eastAsia" w:ascii="宋体" w:hAnsi="宋体" w:cs="Arial"/>
          <w:sz w:val="24"/>
          <w:szCs w:val="24"/>
        </w:rPr>
        <w:t>（4）保安人员在保安职责范围内必须服从院方管理和调配，如不能履行，采购方按次扣除保安服务费（每次200元），因中标人不负责任造成损失，由中标人负责赔偿。</w:t>
      </w:r>
    </w:p>
    <w:p>
      <w:pPr>
        <w:jc w:val="left"/>
        <w:rPr>
          <w:rFonts w:ascii="宋体" w:hAnsi="宋体" w:cs="Arial"/>
          <w:sz w:val="24"/>
          <w:szCs w:val="24"/>
        </w:rPr>
      </w:pPr>
      <w:r>
        <w:rPr>
          <w:rFonts w:hint="eastAsia" w:ascii="宋体" w:hAnsi="宋体" w:cs="Arial"/>
          <w:sz w:val="24"/>
          <w:szCs w:val="24"/>
        </w:rPr>
        <w:t>（5）项目经理全权负责人员管理、派遣、定岗、排班，负责各执勤点的巡视、检查、纠正、调解执勤中的问题，负责与院方的工作接洽、协调，出现医患纠纷或安全隐患时，保安员接到院方通知后，应立即前往现场维护秩序，协助院方处理医患纠纷和排除安全隐患。</w:t>
      </w:r>
    </w:p>
    <w:p>
      <w:pPr>
        <w:jc w:val="left"/>
        <w:rPr>
          <w:rFonts w:ascii="宋体" w:hAnsi="宋体" w:cs="Arial"/>
          <w:sz w:val="24"/>
          <w:szCs w:val="24"/>
        </w:rPr>
      </w:pPr>
      <w:r>
        <w:rPr>
          <w:rFonts w:hint="eastAsia" w:ascii="宋体" w:hAnsi="宋体" w:cs="Arial"/>
          <w:sz w:val="24"/>
          <w:szCs w:val="24"/>
        </w:rPr>
        <w:t>（6）中标人全面负责医院全院治保安卫及其他相关工作，具体负责院内车辆和公共治安秩序管理工作，在安监中心调度指挥下做好医院防火工作，积极做好防盗工作、突发事件的处理和其他与保安相关的业务。</w:t>
      </w:r>
    </w:p>
    <w:p>
      <w:pPr>
        <w:jc w:val="left"/>
        <w:rPr>
          <w:rFonts w:ascii="宋体" w:hAnsi="宋体" w:cs="Arial"/>
          <w:sz w:val="24"/>
          <w:szCs w:val="24"/>
        </w:rPr>
      </w:pPr>
      <w:r>
        <w:rPr>
          <w:rFonts w:hint="eastAsia" w:ascii="宋体" w:hAnsi="宋体" w:cs="Arial"/>
          <w:sz w:val="24"/>
          <w:szCs w:val="24"/>
        </w:rPr>
        <w:t>（7）中标人须按照《中华人民共和国保安服务管理条例》和《安徽省保安服务管理办法》规定的范围内从事保安服务。每天要进行防范巡查，做好记录，发现问题及时处理并报告甲方，保障医疗正常秩序和职工、病员在管理区域内免受不法侵害。</w:t>
      </w:r>
    </w:p>
    <w:p>
      <w:pPr>
        <w:jc w:val="left"/>
        <w:rPr>
          <w:rFonts w:ascii="宋体" w:hAnsi="宋体" w:cs="Arial"/>
          <w:color w:val="000000" w:themeColor="text1"/>
          <w:sz w:val="24"/>
          <w:szCs w:val="24"/>
        </w:rPr>
      </w:pPr>
      <w:r>
        <w:rPr>
          <w:rFonts w:hint="eastAsia" w:ascii="宋体" w:hAnsi="宋体" w:cs="Arial"/>
          <w:sz w:val="24"/>
          <w:szCs w:val="24"/>
        </w:rPr>
        <w:t>（8）合同有效期内，医院遇有重大活动或政府指令性任务需要临时抽调保安协助时，中标人应支持医院工作。</w:t>
      </w:r>
      <w:r>
        <w:rPr>
          <w:rFonts w:hint="eastAsia" w:ascii="宋体" w:hAnsi="宋体" w:cs="Arial"/>
          <w:color w:val="000000" w:themeColor="text1"/>
          <w:sz w:val="24"/>
          <w:szCs w:val="24"/>
        </w:rPr>
        <w:t>当医院发生医疗纠纷或其它突发事件时，中标人应无条件配合并服从医院统筹安排。</w:t>
      </w:r>
    </w:p>
    <w:p>
      <w:pPr>
        <w:jc w:val="left"/>
        <w:rPr>
          <w:rFonts w:ascii="宋体" w:hAnsi="宋体" w:cs="Arial"/>
          <w:sz w:val="24"/>
          <w:szCs w:val="24"/>
        </w:rPr>
      </w:pPr>
      <w:r>
        <w:rPr>
          <w:rFonts w:hint="eastAsia" w:ascii="宋体" w:hAnsi="宋体" w:cs="Arial"/>
          <w:sz w:val="24"/>
          <w:szCs w:val="24"/>
        </w:rPr>
        <w:t xml:space="preserve">    2、管理要求：</w:t>
      </w:r>
    </w:p>
    <w:p>
      <w:pPr>
        <w:jc w:val="left"/>
        <w:rPr>
          <w:rFonts w:ascii="宋体" w:hAnsi="宋体" w:cs="Arial"/>
          <w:sz w:val="24"/>
          <w:szCs w:val="24"/>
        </w:rPr>
      </w:pPr>
      <w:r>
        <w:rPr>
          <w:rFonts w:hint="eastAsia" w:ascii="宋体" w:hAnsi="宋体" w:cs="Arial"/>
          <w:sz w:val="24"/>
          <w:szCs w:val="24"/>
        </w:rPr>
        <w:t xml:space="preserve">    （1）派驻保安人员须按规定持有公安机关颁发的专业上岗证。</w:t>
      </w:r>
    </w:p>
    <w:p>
      <w:pPr>
        <w:jc w:val="left"/>
        <w:rPr>
          <w:rFonts w:ascii="宋体" w:hAnsi="宋体" w:cs="Arial"/>
          <w:sz w:val="24"/>
          <w:szCs w:val="24"/>
        </w:rPr>
      </w:pPr>
      <w:r>
        <w:rPr>
          <w:rFonts w:hint="eastAsia" w:ascii="宋体" w:hAnsi="宋体" w:cs="Arial"/>
          <w:sz w:val="24"/>
          <w:szCs w:val="24"/>
        </w:rPr>
        <w:t xml:space="preserve">    （2）中标人要填写“保安人员登记表”送医院</w:t>
      </w:r>
      <w:r>
        <w:rPr>
          <w:rFonts w:hint="eastAsia" w:ascii="宋体" w:hAnsi="宋体" w:cs="Arial"/>
          <w:color w:val="000000" w:themeColor="text1"/>
          <w:sz w:val="24"/>
          <w:szCs w:val="24"/>
        </w:rPr>
        <w:t>保卫</w:t>
      </w:r>
      <w:r>
        <w:rPr>
          <w:rFonts w:hint="eastAsia" w:ascii="宋体" w:hAnsi="宋体" w:cs="Arial"/>
          <w:sz w:val="24"/>
          <w:szCs w:val="24"/>
        </w:rPr>
        <w:t>科备案，如有人员变动应及时将新的人员登记表送</w:t>
      </w:r>
      <w:r>
        <w:rPr>
          <w:rFonts w:hint="eastAsia" w:ascii="宋体" w:hAnsi="宋体" w:cs="Arial"/>
          <w:color w:val="000000" w:themeColor="text1"/>
          <w:sz w:val="24"/>
          <w:szCs w:val="24"/>
        </w:rPr>
        <w:t>保卫</w:t>
      </w:r>
      <w:r>
        <w:rPr>
          <w:rFonts w:hint="eastAsia" w:ascii="宋体" w:hAnsi="宋体" w:cs="Arial"/>
          <w:sz w:val="24"/>
          <w:szCs w:val="24"/>
        </w:rPr>
        <w:t>科。值班人员值班表提前一周送安保科。</w:t>
      </w:r>
    </w:p>
    <w:p>
      <w:pPr>
        <w:jc w:val="left"/>
        <w:rPr>
          <w:rFonts w:ascii="宋体" w:hAnsi="宋体" w:cs="Arial"/>
          <w:sz w:val="24"/>
          <w:szCs w:val="24"/>
        </w:rPr>
      </w:pPr>
      <w:r>
        <w:rPr>
          <w:rFonts w:hint="eastAsia" w:ascii="宋体" w:hAnsi="宋体" w:cs="Arial"/>
          <w:sz w:val="24"/>
          <w:szCs w:val="24"/>
        </w:rPr>
        <w:t xml:space="preserve">    （3）中标人应结合医院安全管理实际，开展岗前培训，对在岗人员开展经常性的法律知识、安保专业知识和技能培训，逐步熟悉医院环境和安全管理特点，不断提高保安队伍的素质，提高工作质量。</w:t>
      </w:r>
    </w:p>
    <w:p>
      <w:pPr>
        <w:jc w:val="left"/>
        <w:rPr>
          <w:rFonts w:ascii="宋体" w:hAnsi="宋体" w:cs="Arial"/>
          <w:sz w:val="24"/>
          <w:szCs w:val="24"/>
        </w:rPr>
      </w:pPr>
      <w:r>
        <w:rPr>
          <w:rFonts w:hint="eastAsia" w:ascii="宋体" w:hAnsi="宋体" w:cs="Arial"/>
          <w:sz w:val="24"/>
          <w:szCs w:val="24"/>
        </w:rPr>
        <w:t xml:space="preserve">    （4）保持保安队伍相对稳定，控制非违纪人员换岗；更换保安负责人的，应提前一周以书面形式通知</w:t>
      </w:r>
      <w:r>
        <w:rPr>
          <w:rFonts w:hint="eastAsia" w:ascii="宋体" w:hAnsi="宋体" w:cs="Arial"/>
          <w:color w:val="000000" w:themeColor="text1"/>
          <w:sz w:val="24"/>
          <w:szCs w:val="24"/>
        </w:rPr>
        <w:t>保卫</w:t>
      </w:r>
      <w:r>
        <w:rPr>
          <w:rFonts w:hint="eastAsia" w:ascii="宋体" w:hAnsi="宋体" w:cs="Arial"/>
          <w:sz w:val="24"/>
          <w:szCs w:val="24"/>
        </w:rPr>
        <w:t>科，更换其他队员的，应提前三天通知</w:t>
      </w:r>
      <w:r>
        <w:rPr>
          <w:rFonts w:hint="eastAsia" w:ascii="宋体" w:hAnsi="宋体" w:cs="Arial"/>
          <w:color w:val="000000" w:themeColor="text1"/>
          <w:sz w:val="24"/>
          <w:szCs w:val="24"/>
        </w:rPr>
        <w:t>保卫</w:t>
      </w:r>
      <w:r>
        <w:rPr>
          <w:rFonts w:hint="eastAsia" w:ascii="宋体" w:hAnsi="宋体" w:cs="Arial"/>
          <w:sz w:val="24"/>
          <w:szCs w:val="24"/>
        </w:rPr>
        <w:t>科，确保服务质量不因人员频繁变动而受影响。</w:t>
      </w:r>
    </w:p>
    <w:p>
      <w:pPr>
        <w:jc w:val="left"/>
        <w:rPr>
          <w:rFonts w:ascii="宋体" w:hAnsi="宋体" w:cs="Arial"/>
          <w:sz w:val="24"/>
          <w:szCs w:val="24"/>
        </w:rPr>
      </w:pPr>
      <w:r>
        <w:rPr>
          <w:rFonts w:hint="eastAsia" w:ascii="宋体" w:hAnsi="宋体" w:cs="Arial"/>
          <w:sz w:val="24"/>
          <w:szCs w:val="24"/>
        </w:rPr>
        <w:t xml:space="preserve">    （5）合理安排机动人员，以应对节假日或平时保安人员休息时出现人员不足问题，并协调好在岗人员就餐、上卫生间等特殊安排，以保证不空岗。</w:t>
      </w:r>
    </w:p>
    <w:p>
      <w:pPr>
        <w:jc w:val="left"/>
        <w:rPr>
          <w:rFonts w:ascii="宋体" w:hAnsi="宋体" w:cs="Arial"/>
          <w:sz w:val="24"/>
          <w:szCs w:val="24"/>
        </w:rPr>
      </w:pPr>
      <w:r>
        <w:rPr>
          <w:rFonts w:hint="eastAsia" w:ascii="宋体" w:hAnsi="宋体" w:cs="Arial"/>
          <w:sz w:val="24"/>
          <w:szCs w:val="24"/>
        </w:rPr>
        <w:t xml:space="preserve">    （6）建立健全岗位职责、值班制度、考勤制度、奖惩制度、应急预案等；派出专人负责院区保安人员和日常工作管理，对保安队员工作进行考核，规范化保安人员的管理行为。</w:t>
      </w:r>
    </w:p>
    <w:p>
      <w:pPr>
        <w:jc w:val="left"/>
        <w:rPr>
          <w:rFonts w:ascii="宋体" w:hAnsi="宋体" w:cs="Arial"/>
          <w:sz w:val="24"/>
          <w:szCs w:val="24"/>
        </w:rPr>
      </w:pPr>
      <w:r>
        <w:rPr>
          <w:rFonts w:hint="eastAsia" w:ascii="宋体" w:hAnsi="宋体" w:cs="Arial"/>
          <w:sz w:val="24"/>
          <w:szCs w:val="24"/>
        </w:rPr>
        <w:t>（7）服从医院领导的工作安排，接受医院的监督和检查。医院有权要求更换工作态度不好、工作能力差的保安队员。</w:t>
      </w:r>
    </w:p>
    <w:p>
      <w:pPr>
        <w:jc w:val="left"/>
        <w:rPr>
          <w:rFonts w:ascii="宋体" w:hAnsi="宋体" w:cs="Arial"/>
          <w:sz w:val="24"/>
          <w:szCs w:val="24"/>
        </w:rPr>
      </w:pPr>
      <w:r>
        <w:rPr>
          <w:rFonts w:hint="eastAsia" w:ascii="宋体" w:hAnsi="宋体" w:cs="Arial"/>
          <w:sz w:val="24"/>
          <w:szCs w:val="24"/>
        </w:rPr>
        <w:t xml:space="preserve">    （8）管理负责人要与</w:t>
      </w:r>
      <w:r>
        <w:rPr>
          <w:rFonts w:hint="eastAsia" w:ascii="宋体" w:hAnsi="宋体" w:cs="Arial"/>
          <w:color w:val="000000" w:themeColor="text1"/>
          <w:sz w:val="24"/>
          <w:szCs w:val="24"/>
        </w:rPr>
        <w:t>保卫</w:t>
      </w:r>
      <w:r>
        <w:rPr>
          <w:rFonts w:hint="eastAsia" w:ascii="宋体" w:hAnsi="宋体" w:cs="Arial"/>
          <w:sz w:val="24"/>
          <w:szCs w:val="24"/>
        </w:rPr>
        <w:t>科保持密切的工作联系，每星期向</w:t>
      </w:r>
      <w:r>
        <w:rPr>
          <w:rFonts w:hint="eastAsia" w:ascii="宋体" w:hAnsi="宋体" w:cs="Arial"/>
          <w:color w:val="000000" w:themeColor="text1"/>
          <w:sz w:val="24"/>
          <w:szCs w:val="24"/>
        </w:rPr>
        <w:t>保卫</w:t>
      </w:r>
      <w:r>
        <w:rPr>
          <w:rFonts w:hint="eastAsia" w:ascii="宋体" w:hAnsi="宋体" w:cs="Arial"/>
          <w:sz w:val="24"/>
          <w:szCs w:val="24"/>
        </w:rPr>
        <w:t>科汇报一次工作开展情况，经常反馈信息，重大情况及时报告。</w:t>
      </w:r>
    </w:p>
    <w:p>
      <w:pPr>
        <w:jc w:val="left"/>
        <w:rPr>
          <w:rFonts w:ascii="宋体" w:hAnsi="宋体" w:cs="Arial"/>
          <w:sz w:val="24"/>
          <w:szCs w:val="24"/>
        </w:rPr>
      </w:pPr>
      <w:r>
        <w:rPr>
          <w:rFonts w:hint="eastAsia" w:ascii="宋体" w:hAnsi="宋体" w:cs="Arial"/>
          <w:sz w:val="24"/>
          <w:szCs w:val="24"/>
        </w:rPr>
        <w:t xml:space="preserve">    （9）为提高管理水平，改进工作，医院与中标人建立定期对话协商机制，每月召开一次安保工作协调会，通报工作情况，协商解决有关问题。</w:t>
      </w:r>
    </w:p>
    <w:p>
      <w:pPr>
        <w:jc w:val="left"/>
        <w:rPr>
          <w:rFonts w:ascii="宋体" w:hAnsi="宋体" w:cs="Arial"/>
          <w:sz w:val="24"/>
          <w:szCs w:val="24"/>
        </w:rPr>
      </w:pPr>
      <w:r>
        <w:rPr>
          <w:rFonts w:hint="eastAsia" w:ascii="宋体" w:hAnsi="宋体" w:cs="Arial"/>
          <w:sz w:val="24"/>
          <w:szCs w:val="24"/>
        </w:rPr>
        <w:t xml:space="preserve">    （10）做好详细的执勤记录，原始台帐保存完好，以备公司和医院核查。根据医院工作和迎接上级检查需要时，乙方须提供有关记录和材料。</w:t>
      </w:r>
    </w:p>
    <w:p>
      <w:pPr>
        <w:jc w:val="left"/>
        <w:rPr>
          <w:rFonts w:ascii="宋体" w:hAnsi="宋体" w:cs="Arial"/>
          <w:sz w:val="24"/>
          <w:szCs w:val="24"/>
        </w:rPr>
      </w:pPr>
      <w:r>
        <w:rPr>
          <w:rFonts w:hint="eastAsia" w:ascii="宋体" w:hAnsi="宋体" w:cs="Arial"/>
          <w:sz w:val="24"/>
          <w:szCs w:val="24"/>
        </w:rPr>
        <w:t xml:space="preserve">     （11）医院为消防从业人员提供工作值班室和基本的工作条件，其他费用由中标人承担。</w:t>
      </w:r>
    </w:p>
    <w:p>
      <w:pPr>
        <w:jc w:val="left"/>
        <w:rPr>
          <w:rFonts w:ascii="宋体" w:hAnsi="宋体" w:cs="Arial"/>
          <w:sz w:val="24"/>
          <w:szCs w:val="24"/>
        </w:rPr>
      </w:pPr>
      <w:r>
        <w:rPr>
          <w:rFonts w:hint="eastAsia" w:ascii="宋体" w:hAnsi="宋体" w:cs="Arial"/>
          <w:sz w:val="24"/>
          <w:szCs w:val="24"/>
        </w:rPr>
        <w:t xml:space="preserve">     （12）与当地派出所、综治等部门加强合作与交流。</w:t>
      </w:r>
    </w:p>
    <w:p>
      <w:pPr>
        <w:jc w:val="left"/>
        <w:rPr>
          <w:rFonts w:ascii="宋体" w:hAnsi="宋体" w:cs="Arial"/>
          <w:sz w:val="24"/>
          <w:szCs w:val="24"/>
        </w:rPr>
      </w:pPr>
      <w:r>
        <w:rPr>
          <w:rFonts w:hint="eastAsia" w:ascii="宋体" w:hAnsi="宋体" w:cs="Arial"/>
          <w:sz w:val="24"/>
          <w:szCs w:val="24"/>
        </w:rPr>
        <w:t>（四）服务质量监管</w:t>
      </w:r>
    </w:p>
    <w:p>
      <w:pPr>
        <w:jc w:val="left"/>
        <w:rPr>
          <w:rFonts w:ascii="宋体" w:hAnsi="宋体" w:cs="Arial"/>
          <w:sz w:val="24"/>
          <w:szCs w:val="24"/>
        </w:rPr>
      </w:pPr>
      <w:r>
        <w:rPr>
          <w:rFonts w:hint="eastAsia" w:ascii="宋体" w:hAnsi="宋体" w:cs="Arial"/>
          <w:sz w:val="24"/>
          <w:szCs w:val="24"/>
        </w:rPr>
        <w:t xml:space="preserve">    1、</w:t>
      </w:r>
      <w:r>
        <w:rPr>
          <w:rFonts w:hint="eastAsia" w:ascii="宋体" w:hAnsi="宋体" w:cs="Arial"/>
          <w:color w:val="000000" w:themeColor="text1"/>
          <w:sz w:val="24"/>
          <w:szCs w:val="24"/>
        </w:rPr>
        <w:t>保卫</w:t>
      </w:r>
      <w:r>
        <w:rPr>
          <w:rFonts w:hint="eastAsia" w:ascii="宋体" w:hAnsi="宋体" w:cs="Arial"/>
          <w:sz w:val="24"/>
          <w:szCs w:val="24"/>
        </w:rPr>
        <w:t>科代表医院对乙方安保服务质量进行监督，制订医院安保服务管理办法，定期对中标人服务质量进行评价。</w:t>
      </w:r>
    </w:p>
    <w:p>
      <w:pPr>
        <w:jc w:val="left"/>
        <w:rPr>
          <w:rFonts w:ascii="宋体" w:hAnsi="宋体" w:cs="Arial"/>
          <w:sz w:val="24"/>
          <w:szCs w:val="24"/>
        </w:rPr>
      </w:pPr>
      <w:r>
        <w:rPr>
          <w:rFonts w:hint="eastAsia" w:ascii="宋体" w:hAnsi="宋体" w:cs="Arial"/>
          <w:sz w:val="24"/>
          <w:szCs w:val="24"/>
        </w:rPr>
        <w:t xml:space="preserve">    2、中标人如果日常工作不到位、不达标或有违约现象，将依据合同约定作出相应的违约处理与处罚。</w:t>
      </w:r>
    </w:p>
    <w:p>
      <w:pPr>
        <w:jc w:val="left"/>
        <w:rPr>
          <w:rFonts w:ascii="宋体" w:hAnsi="宋体" w:cs="Arial"/>
          <w:sz w:val="24"/>
          <w:szCs w:val="24"/>
        </w:rPr>
      </w:pPr>
      <w:r>
        <w:rPr>
          <w:rFonts w:hint="eastAsia" w:ascii="宋体" w:hAnsi="宋体" w:cs="Arial"/>
          <w:sz w:val="24"/>
          <w:szCs w:val="24"/>
        </w:rPr>
        <w:t xml:space="preserve">    3、对承保服务质量评价按照《六安世立医院医院安保服务质量评分细则》执行（附后）。</w:t>
      </w:r>
    </w:p>
    <w:p>
      <w:pPr>
        <w:jc w:val="left"/>
        <w:rPr>
          <w:rFonts w:ascii="宋体" w:hAnsi="宋体" w:cs="Arial"/>
          <w:sz w:val="24"/>
          <w:szCs w:val="24"/>
        </w:rPr>
      </w:pPr>
      <w:r>
        <w:rPr>
          <w:rFonts w:hint="eastAsia" w:ascii="宋体" w:hAnsi="宋体" w:cs="Arial"/>
          <w:sz w:val="24"/>
          <w:szCs w:val="24"/>
        </w:rPr>
        <w:t xml:space="preserve">    4</w:t>
      </w:r>
      <w:r>
        <w:rPr>
          <w:rFonts w:hint="eastAsia" w:ascii="宋体" w:hAnsi="宋体" w:cs="Arial"/>
          <w:color w:val="000000" w:themeColor="text1"/>
          <w:sz w:val="24"/>
          <w:szCs w:val="24"/>
        </w:rPr>
        <w:t>、保卫</w:t>
      </w:r>
      <w:r>
        <w:rPr>
          <w:rFonts w:hint="eastAsia" w:ascii="宋体" w:hAnsi="宋体" w:cs="Arial"/>
          <w:sz w:val="24"/>
          <w:szCs w:val="24"/>
        </w:rPr>
        <w:t>科派专人每日对中标人服务情况进行监督、检查和记录，在此基础上每月对保安公司服务质量进行评分。评分实行扣分制，一分扣50元，每月一计算；全年评分12次。</w:t>
      </w:r>
    </w:p>
    <w:p>
      <w:pPr>
        <w:jc w:val="left"/>
        <w:rPr>
          <w:rFonts w:ascii="宋体" w:hAnsi="宋体" w:cs="Arial"/>
          <w:sz w:val="24"/>
          <w:szCs w:val="24"/>
        </w:rPr>
      </w:pPr>
      <w:r>
        <w:rPr>
          <w:rFonts w:hint="eastAsia" w:ascii="宋体" w:hAnsi="宋体" w:cs="Arial"/>
          <w:sz w:val="24"/>
          <w:szCs w:val="24"/>
        </w:rPr>
        <w:t>5、中标人如果日常工作不到位、不达标或有违约现象，中标人要承担因服务不到位的违约处理与处罚。院方按照《六安世立医院医院安保服务质量评分细则》对中标人服务质量进行评分，合同期满后从中标人安保服务保证金中扣除。</w:t>
      </w:r>
    </w:p>
    <w:p>
      <w:pPr>
        <w:jc w:val="left"/>
        <w:rPr>
          <w:rFonts w:ascii="宋体" w:hAnsi="宋体" w:cs="Arial"/>
          <w:sz w:val="24"/>
          <w:szCs w:val="24"/>
        </w:rPr>
      </w:pPr>
      <w:r>
        <w:rPr>
          <w:rFonts w:hint="eastAsia" w:ascii="宋体" w:hAnsi="宋体" w:cs="Arial"/>
          <w:sz w:val="24"/>
          <w:szCs w:val="24"/>
        </w:rPr>
        <w:t>6、中标人在组织、安排保安人员工作时，应遵守国家、地方相关法律法规，中标人对其用工行为承担一切法律责任。中标人与聘用保安人员发生劳务纠纷，均由中标人负责调解与处理，院方不承担任何责任。</w:t>
      </w:r>
    </w:p>
    <w:p>
      <w:pPr>
        <w:jc w:val="left"/>
        <w:rPr>
          <w:rFonts w:ascii="宋体" w:hAnsi="宋体" w:cs="Arial"/>
          <w:sz w:val="24"/>
          <w:szCs w:val="24"/>
        </w:rPr>
      </w:pPr>
      <w:r>
        <w:rPr>
          <w:rFonts w:hint="eastAsia" w:ascii="宋体" w:hAnsi="宋体" w:cs="Arial"/>
          <w:sz w:val="24"/>
          <w:szCs w:val="24"/>
        </w:rPr>
        <w:t>7、中标人保安人员在岗履行工作职责期间，发生自身的人身伤害、伤亡或造成他人受伤害的，均由中标人负责处理并承担经济、道义和法律上的责任，院方不承担任何责任。</w:t>
      </w:r>
    </w:p>
    <w:p>
      <w:pPr>
        <w:jc w:val="left"/>
        <w:rPr>
          <w:rFonts w:ascii="宋体" w:hAnsi="宋体" w:cs="Arial"/>
          <w:sz w:val="24"/>
          <w:szCs w:val="24"/>
        </w:rPr>
      </w:pPr>
      <w:r>
        <w:rPr>
          <w:rFonts w:hint="eastAsia" w:ascii="宋体" w:hAnsi="宋体" w:cs="Arial"/>
          <w:sz w:val="24"/>
          <w:szCs w:val="24"/>
        </w:rPr>
        <w:t>8、由于中标人保安人员进行安保服务工作时的过失或故意行为造成院方或者其他第三方人员、经济损失的，中标人负责承担全部责任；中标人保安人员在工作期间违反法律法规、行业惯例、本合同、职业道德等，给院方造成损失的，院方有权要求中标人承担违约责任；中标人保安人员实施的与工作无关的行为给院方造成任何人员物品、金钱损失的，中标人应对此损失负完全连带责任并予以赔偿。</w:t>
      </w:r>
    </w:p>
    <w:p>
      <w:pPr>
        <w:jc w:val="left"/>
        <w:rPr>
          <w:rFonts w:ascii="宋体" w:hAnsi="宋体" w:cs="Arial"/>
          <w:sz w:val="24"/>
          <w:szCs w:val="24"/>
        </w:rPr>
      </w:pPr>
      <w:r>
        <w:rPr>
          <w:rFonts w:hint="eastAsia" w:ascii="宋体" w:hAnsi="宋体" w:cs="Arial"/>
          <w:sz w:val="24"/>
          <w:szCs w:val="24"/>
        </w:rPr>
        <w:t xml:space="preserve">    （五）合同期限及付款方式</w:t>
      </w:r>
    </w:p>
    <w:p>
      <w:pPr>
        <w:jc w:val="left"/>
        <w:rPr>
          <w:rFonts w:ascii="宋体" w:hAnsi="宋体" w:cs="Arial"/>
          <w:sz w:val="24"/>
          <w:szCs w:val="24"/>
        </w:rPr>
      </w:pPr>
      <w:r>
        <w:rPr>
          <w:rFonts w:hint="eastAsia" w:ascii="宋体" w:hAnsi="宋体" w:cs="Arial"/>
          <w:sz w:val="24"/>
          <w:szCs w:val="24"/>
        </w:rPr>
        <w:t xml:space="preserve">    1、服务期限：：服务期3年，合同一年一签</w:t>
      </w:r>
    </w:p>
    <w:p>
      <w:pPr>
        <w:jc w:val="left"/>
        <w:rPr>
          <w:rFonts w:ascii="宋体" w:hAnsi="宋体" w:cs="Arial"/>
          <w:sz w:val="24"/>
          <w:szCs w:val="24"/>
        </w:rPr>
      </w:pPr>
      <w:r>
        <w:rPr>
          <w:rFonts w:hint="eastAsia" w:ascii="宋体" w:hAnsi="宋体" w:cs="Arial"/>
          <w:sz w:val="24"/>
          <w:szCs w:val="24"/>
        </w:rPr>
        <w:t>2、付款方式：招标</w:t>
      </w:r>
      <w:r>
        <w:rPr>
          <w:rFonts w:hint="eastAsia" w:ascii="宋体" w:hAnsi="宋体" w:cs="Arial"/>
          <w:color w:val="000000" w:themeColor="text1"/>
          <w:sz w:val="24"/>
          <w:szCs w:val="24"/>
        </w:rPr>
        <w:t>人次月25日前</w:t>
      </w:r>
      <w:r>
        <w:rPr>
          <w:rFonts w:hint="eastAsia" w:ascii="宋体" w:hAnsi="宋体" w:cs="Arial"/>
          <w:sz w:val="24"/>
          <w:szCs w:val="24"/>
        </w:rPr>
        <w:t>支付中标人上月考核后的实际服务费用。中标人提供正规服务费发票。</w:t>
      </w:r>
    </w:p>
    <w:p>
      <w:pPr>
        <w:jc w:val="left"/>
        <w:rPr>
          <w:rFonts w:ascii="宋体" w:hAnsi="宋体" w:cs="Arial"/>
          <w:sz w:val="24"/>
          <w:szCs w:val="24"/>
        </w:rPr>
      </w:pPr>
      <w:r>
        <w:rPr>
          <w:rFonts w:hint="eastAsia" w:ascii="宋体" w:hAnsi="宋体" w:cs="Arial"/>
          <w:sz w:val="24"/>
          <w:szCs w:val="24"/>
        </w:rPr>
        <w:t>（六）违约责任</w:t>
      </w:r>
    </w:p>
    <w:p>
      <w:pPr>
        <w:jc w:val="left"/>
        <w:rPr>
          <w:rFonts w:ascii="宋体" w:hAnsi="宋体" w:cs="Arial"/>
          <w:sz w:val="24"/>
          <w:szCs w:val="24"/>
        </w:rPr>
      </w:pPr>
      <w:r>
        <w:rPr>
          <w:rFonts w:hint="eastAsia" w:ascii="宋体" w:hAnsi="宋体" w:cs="Arial"/>
          <w:sz w:val="24"/>
          <w:szCs w:val="24"/>
        </w:rPr>
        <w:t xml:space="preserve">    1、院方发现中标人及其保安人员未能完全履行本合同的，有权向中标人提出警告，在一个月内，警告次数达3次（包括3次）的，则院方有权不向中标人支付当月的保安费用，在合同期内，警告次数累计达3次的，则院方有权随时解除本合同并不向中标人支付当月的保安费用，中标人还应当按照前两个月的服务费用向院方支付违约金，违约金不足弥补院方实际损失的，则还应赔偿院方的实际损失。本合同终止或解除后，中标人根据院方的要求，立即移交工作并招回全部保安人员；如中标人保安人员擅自进入院方场所的，按100元/人/次支付违约金，在院方场所逗留超过1小时的，按100元/小时计算。无任何违约或给院方造成损失，合同终止，终止解除15日内交给中标人。本合同生效之日起一周内中标人将履约保证金交至院方，否则视为违约。</w:t>
      </w:r>
    </w:p>
    <w:p>
      <w:pPr>
        <w:jc w:val="left"/>
        <w:rPr>
          <w:rFonts w:ascii="宋体" w:hAnsi="宋体" w:cs="Arial"/>
          <w:sz w:val="24"/>
          <w:szCs w:val="24"/>
        </w:rPr>
      </w:pPr>
      <w:r>
        <w:rPr>
          <w:rFonts w:hint="eastAsia" w:ascii="宋体" w:hAnsi="宋体" w:cs="Arial"/>
          <w:sz w:val="24"/>
          <w:szCs w:val="24"/>
        </w:rPr>
        <w:t xml:space="preserve">    2、合同期限未满，院方如因不可抗力要求提前解除本合同的或对中标人任何保安工作质量有问题时，可于一星期前以书面提前解除合同。若中标人需提前解除合约需于一个月前以书面向院方提出，若中标人未遵守此协议约定必须支付至少3个月的总费用作为违约金，若违约金不足以弥补损失的，乙方应赔偿损失。</w:t>
      </w:r>
    </w:p>
    <w:p>
      <w:pPr>
        <w:jc w:val="left"/>
        <w:rPr>
          <w:rFonts w:ascii="宋体" w:hAnsi="宋体" w:cs="Arial"/>
          <w:sz w:val="24"/>
          <w:szCs w:val="24"/>
        </w:rPr>
      </w:pPr>
      <w:r>
        <w:rPr>
          <w:rFonts w:hint="eastAsia" w:ascii="宋体" w:hAnsi="宋体" w:cs="Arial"/>
          <w:sz w:val="24"/>
          <w:szCs w:val="24"/>
        </w:rPr>
        <w:t xml:space="preserve">    （八）争议处理 </w:t>
      </w:r>
    </w:p>
    <w:p>
      <w:pPr>
        <w:jc w:val="left"/>
        <w:rPr>
          <w:rFonts w:ascii="宋体" w:hAnsi="宋体" w:cs="Arial"/>
          <w:sz w:val="24"/>
          <w:szCs w:val="24"/>
        </w:rPr>
      </w:pPr>
      <w:r>
        <w:rPr>
          <w:rFonts w:hint="eastAsia" w:ascii="宋体" w:hAnsi="宋体" w:cs="Arial"/>
          <w:sz w:val="24"/>
          <w:szCs w:val="24"/>
        </w:rPr>
        <w:t>合同双方应友好协商，解决在执行合同中所发生的或与本合同有关的一切争端，如果协商仍得不到解决，任何一方可向六安市人民法院提起诉讼。</w:t>
      </w:r>
    </w:p>
    <w:p>
      <w:pPr>
        <w:jc w:val="left"/>
        <w:rPr>
          <w:rFonts w:ascii="宋体" w:hAnsi="宋体" w:cs="Arial"/>
          <w:sz w:val="24"/>
          <w:szCs w:val="24"/>
        </w:rPr>
      </w:pPr>
      <w:r>
        <w:rPr>
          <w:rFonts w:hint="eastAsia" w:ascii="宋体" w:hAnsi="宋体" w:cs="Arial"/>
          <w:sz w:val="24"/>
          <w:szCs w:val="24"/>
        </w:rPr>
        <w:t xml:space="preserve">   （九）保密义务</w:t>
      </w:r>
    </w:p>
    <w:p>
      <w:pPr>
        <w:jc w:val="left"/>
        <w:rPr>
          <w:rFonts w:ascii="宋体" w:hAnsi="宋体" w:cs="Arial"/>
          <w:sz w:val="24"/>
          <w:szCs w:val="24"/>
        </w:rPr>
      </w:pPr>
      <w:r>
        <w:rPr>
          <w:rFonts w:hint="eastAsia" w:ascii="宋体" w:hAnsi="宋体" w:cs="Arial"/>
          <w:sz w:val="24"/>
          <w:szCs w:val="24"/>
        </w:rPr>
        <w:t>中标人及派遣人员对在履行本合同过程中以任何方式所获悉的有关院方的任何信息（简称“保密信息”）负保密义务。未经院方事先书面许可，中标人不得将保密信息以任何方式向任何第三方透露或许可任何第三方使用。中标人亦不得将保密信息用于本合同目的之外的其他任何商业或非商业的目的。否则，中标人应承担由此产生的一切后果。本保密义务不受本合同有效期限的限制。</w:t>
      </w:r>
    </w:p>
    <w:p>
      <w:pPr>
        <w:jc w:val="left"/>
        <w:rPr>
          <w:rFonts w:ascii="宋体" w:hAnsi="宋体" w:cs="Arial"/>
          <w:sz w:val="24"/>
          <w:szCs w:val="24"/>
        </w:rPr>
      </w:pPr>
    </w:p>
    <w:p>
      <w:pPr>
        <w:jc w:val="left"/>
      </w:pPr>
      <w:bookmarkStart w:id="16" w:name="_Toc527645729"/>
      <w:r>
        <w:rPr>
          <w:rFonts w:hint="eastAsia" w:ascii="宋体" w:hAnsi="宋体" w:cs="Arial"/>
          <w:sz w:val="24"/>
          <w:szCs w:val="24"/>
        </w:rPr>
        <w:br w:type="page"/>
      </w:r>
      <w:bookmarkStart w:id="17" w:name="_Toc529780407"/>
      <w:r>
        <w:rPr>
          <w:rFonts w:hint="eastAsia"/>
          <w:sz w:val="24"/>
          <w:szCs w:val="22"/>
        </w:rPr>
        <w:t>六安世立医院消防安保服务质量评分细则</w:t>
      </w:r>
      <w:bookmarkEnd w:id="16"/>
      <w:bookmarkEnd w:id="17"/>
    </w:p>
    <w:tbl>
      <w:tblPr>
        <w:tblStyle w:val="41"/>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6"/>
        <w:gridCol w:w="85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
                <w:bCs/>
                <w:szCs w:val="21"/>
              </w:rPr>
            </w:pPr>
            <w:r>
              <w:rPr>
                <w:rFonts w:hint="eastAsia" w:ascii="宋体" w:hAnsi="宋体" w:cs="宋体"/>
                <w:b/>
                <w:bCs/>
                <w:szCs w:val="21"/>
              </w:rPr>
              <w:t>序号</w:t>
            </w:r>
          </w:p>
        </w:tc>
        <w:tc>
          <w:tcPr>
            <w:tcW w:w="8548" w:type="dxa"/>
            <w:noWrap/>
          </w:tcPr>
          <w:p>
            <w:pPr>
              <w:spacing w:line="500" w:lineRule="exact"/>
              <w:jc w:val="center"/>
              <w:rPr>
                <w:rFonts w:ascii="宋体" w:hAnsi="宋体" w:cs="宋体"/>
                <w:b/>
                <w:bCs/>
                <w:szCs w:val="21"/>
              </w:rPr>
            </w:pPr>
            <w:r>
              <w:rPr>
                <w:rFonts w:hint="eastAsia" w:ascii="宋体" w:hAnsi="宋体" w:cs="宋体"/>
                <w:b/>
                <w:bCs/>
                <w:szCs w:val="21"/>
              </w:rPr>
              <w:t>考核评分内容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未按合同规定人数配置保安员或未执行合同规定任务的，扣10分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值班时保安员服装不整洁扣1分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公司没有健全医院安保管理制度和应急预案的，扣2分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保安员没有专业上岗证的，扣2分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保安员年龄大于招标承诺年龄的，每人次扣2分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串岗每人次扣2分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保安员没有体检单的，每人次扣1分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未及时配备派驻保安员的统一服装及附属装备的每人次扣2分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09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保安员上岗没有穿着制服、佩戴统一标识的，每人次扣2分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保安员迟到或早退的，每人次扣2分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院区巡逻没有按照时间要求进行的，每人次扣2分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按时交接班，无交接班记录，每人次扣1分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没有履行职责，责任区内有摊点的，每人次扣2分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门卫没有按照要求时间立岗值勤的，每人次扣2分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上班时间干私活（阅报、看电视、玩手机等），每人次扣1分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没经保卫科同意擅自同意大型货运车辆从大门进入的扣1分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物资运出院区没有进行检查、登记的，扣2分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小商、小贩从门卫进入院区的，扣3分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19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保安员未经同意擅自离岗的，每人次扣2分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值班室及附近环境卫生不干净的，扣1分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语言不文明，每人次扣2分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916" w:type="dxa"/>
            <w:noWrap/>
          </w:tcPr>
          <w:p>
            <w:pPr>
              <w:spacing w:line="500" w:lineRule="exact"/>
              <w:jc w:val="left"/>
              <w:rPr>
                <w:rFonts w:ascii="宋体" w:hAnsi="宋体" w:cs="宋体"/>
                <w:bCs/>
                <w:szCs w:val="21"/>
              </w:rPr>
            </w:pPr>
            <w:r>
              <w:rPr>
                <w:rFonts w:hint="eastAsia" w:ascii="宋体" w:hAnsi="宋体" w:cs="宋体"/>
                <w:bCs/>
                <w:szCs w:val="21"/>
              </w:rPr>
              <w:t>22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调阅监控没有按照规定程序摘自调阅的，扣1分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调阅监控没有记录的，发现一次扣2分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监控室视频信息外泄，扣10分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发现保安人员酒后上岗的，每人次扣4分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对职工、患者的求助无动于衷的，扣3分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无故做出有损医院形象的扣2分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对医院指出的存在问题与不足未能在限期内及时整改的扣2分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29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保安各岗位工作没有记录的，每人次扣2分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派驻负责人没有履行工作职责，造成安保工作混乱的，扣3分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31</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外来人员混入，没有及时发现，造成不良后果的，扣2分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32</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夜间发生的盗窃案应该及时发现而没发现的，扣5分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33</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院区内发生暴力事件时接报后没能及时到场处理的，扣5分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34</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巡视中本该发现而没发现的安全隐患，且造成了伤害后果发生的，扣10分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35</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发生不该发生的语言和肢体冲突（制止暴力除外）的，扣2分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36</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责任区内发生治安案件，没有及时报告、或处理不当造成不良</w:t>
            </w:r>
          </w:p>
          <w:p>
            <w:pPr>
              <w:spacing w:line="500" w:lineRule="exact"/>
              <w:jc w:val="left"/>
              <w:rPr>
                <w:rFonts w:ascii="宋体" w:hAnsi="宋体" w:cs="宋体"/>
                <w:bCs/>
                <w:szCs w:val="21"/>
              </w:rPr>
            </w:pPr>
            <w:r>
              <w:rPr>
                <w:rFonts w:hint="eastAsia" w:ascii="宋体" w:hAnsi="宋体" w:cs="宋体"/>
                <w:bCs/>
                <w:szCs w:val="21"/>
              </w:rPr>
              <w:t>影响或有推萎、拖延的扣2分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37</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严格执行门禁制、巡逻制、交接班制等制度，制度执行不力扣2分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38</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安保人员未经批准私自换岗的，扣2分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39</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保安员没有做到24小时值班或值班期间睡觉的，扣5分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16" w:type="dxa"/>
            <w:noWrap/>
          </w:tcPr>
          <w:p>
            <w:pPr>
              <w:spacing w:line="500" w:lineRule="exact"/>
              <w:jc w:val="left"/>
              <w:rPr>
                <w:rFonts w:ascii="宋体" w:hAnsi="宋体" w:cs="宋体"/>
                <w:bCs/>
                <w:szCs w:val="21"/>
              </w:rPr>
            </w:pPr>
            <w:r>
              <w:rPr>
                <w:rFonts w:hint="eastAsia" w:ascii="宋体" w:hAnsi="宋体" w:cs="宋体"/>
                <w:bCs/>
                <w:szCs w:val="21"/>
              </w:rPr>
              <w:t>40</w:t>
            </w:r>
          </w:p>
        </w:tc>
        <w:tc>
          <w:tcPr>
            <w:tcW w:w="8548" w:type="dxa"/>
            <w:noWrap/>
          </w:tcPr>
          <w:p>
            <w:pPr>
              <w:spacing w:line="500" w:lineRule="exact"/>
              <w:jc w:val="left"/>
              <w:rPr>
                <w:rFonts w:ascii="宋体" w:hAnsi="宋体" w:cs="宋体"/>
                <w:bCs/>
                <w:szCs w:val="21"/>
              </w:rPr>
            </w:pPr>
            <w:r>
              <w:rPr>
                <w:rFonts w:hint="eastAsia" w:ascii="宋体" w:hAnsi="宋体" w:cs="宋体"/>
                <w:bCs/>
                <w:szCs w:val="21"/>
              </w:rPr>
              <w:t>更换负责人或保安队员的未及时（1个工作日）报送材料的，扣2分</w:t>
            </w:r>
          </w:p>
        </w:tc>
      </w:tr>
    </w:tbl>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p>
      <w:pPr>
        <w:spacing w:line="420" w:lineRule="exact"/>
        <w:ind w:firstLine="425"/>
        <w:jc w:val="center"/>
        <w:rPr>
          <w:rFonts w:ascii="新宋体" w:hAnsi="新宋体" w:eastAsia="新宋体" w:cs="新宋体"/>
          <w:b/>
          <w:color w:val="000000"/>
          <w:sz w:val="28"/>
          <w:szCs w:val="28"/>
        </w:rPr>
      </w:pPr>
    </w:p>
    <w:bookmarkEnd w:id="6"/>
    <w:p>
      <w:pPr>
        <w:pStyle w:val="2"/>
        <w:numPr>
          <w:ilvl w:val="0"/>
          <w:numId w:val="0"/>
        </w:numPr>
        <w:spacing w:line="580" w:lineRule="exact"/>
        <w:ind w:left="1260" w:firstLine="1084" w:firstLineChars="300"/>
        <w:rPr>
          <w:rFonts w:ascii="宋体" w:hAnsi="宋体" w:eastAsia="宋体" w:cs="宋体"/>
          <w:b/>
          <w:color w:val="000000"/>
          <w:kern w:val="0"/>
          <w:sz w:val="36"/>
          <w:szCs w:val="36"/>
        </w:rPr>
      </w:pPr>
      <w:bookmarkStart w:id="18" w:name="_Toc10940"/>
      <w:r>
        <w:rPr>
          <w:rFonts w:hint="eastAsia" w:ascii="宋体" w:hAnsi="宋体" w:eastAsia="宋体" w:cs="宋体"/>
          <w:b/>
          <w:color w:val="000000"/>
          <w:kern w:val="0"/>
          <w:sz w:val="36"/>
          <w:szCs w:val="36"/>
        </w:rPr>
        <w:t>五、评分标准</w:t>
      </w:r>
      <w:bookmarkEnd w:id="18"/>
    </w:p>
    <w:p>
      <w:pPr>
        <w:pStyle w:val="4"/>
        <w:ind w:firstLine="0"/>
        <w:rPr>
          <w:rFonts w:ascii="宋体" w:hAnsi="宋体" w:cs="宋体"/>
          <w:b/>
          <w:bCs/>
          <w:color w:val="000000"/>
          <w:kern w:val="0"/>
          <w:sz w:val="28"/>
          <w:szCs w:val="28"/>
        </w:rPr>
      </w:pPr>
      <w:r>
        <w:rPr>
          <w:rFonts w:hint="eastAsia" w:ascii="宋体" w:hAnsi="宋体" w:cs="宋体"/>
          <w:b/>
          <w:bCs/>
          <w:color w:val="000000"/>
          <w:kern w:val="0"/>
          <w:sz w:val="28"/>
          <w:szCs w:val="28"/>
        </w:rPr>
        <w:t>消防安保服务</w:t>
      </w:r>
    </w:p>
    <w:p>
      <w:pPr>
        <w:widowControl/>
        <w:shd w:val="clear" w:color="auto" w:fill="FFFFFF"/>
        <w:spacing w:line="560" w:lineRule="exact"/>
        <w:rPr>
          <w:rFonts w:ascii="宋体" w:hAnsi="宋体"/>
          <w:sz w:val="24"/>
          <w:szCs w:val="24"/>
        </w:rPr>
      </w:pPr>
      <w:r>
        <w:rPr>
          <w:rFonts w:hint="eastAsia" w:ascii="宋体" w:hAnsi="宋体"/>
          <w:b/>
          <w:bCs/>
          <w:sz w:val="24"/>
          <w:szCs w:val="24"/>
        </w:rPr>
        <w:t>1、</w:t>
      </w:r>
      <w:r>
        <w:rPr>
          <w:rFonts w:hint="eastAsia" w:ascii="宋体" w:hAnsi="宋体"/>
          <w:sz w:val="24"/>
          <w:szCs w:val="24"/>
        </w:rPr>
        <w:t>本次评标</w:t>
      </w:r>
      <w:r>
        <w:rPr>
          <w:rFonts w:hint="eastAsia" w:ascii="宋体" w:hAnsi="宋体" w:cs="宋体"/>
          <w:color w:val="000000"/>
          <w:kern w:val="0"/>
          <w:sz w:val="24"/>
          <w:szCs w:val="24"/>
        </w:rPr>
        <w:t>投标方现场踏勘确定岗位人数并报价，商务标共40%</w:t>
      </w:r>
      <w:r>
        <w:rPr>
          <w:rFonts w:hint="eastAsia" w:ascii="宋体" w:hAnsi="宋体"/>
          <w:sz w:val="24"/>
          <w:szCs w:val="24"/>
        </w:rPr>
        <w:t>。</w:t>
      </w:r>
    </w:p>
    <w:p>
      <w:pPr>
        <w:numPr>
          <w:ilvl w:val="0"/>
          <w:numId w:val="5"/>
        </w:numPr>
        <w:tabs>
          <w:tab w:val="left" w:pos="-94"/>
          <w:tab w:val="left" w:pos="428"/>
        </w:tabs>
        <w:adjustRightInd w:val="0"/>
        <w:spacing w:line="360" w:lineRule="auto"/>
        <w:ind w:left="23" w:leftChars="11"/>
        <w:jc w:val="center"/>
        <w:textAlignment w:val="baseline"/>
        <w:rPr>
          <w:b/>
          <w:sz w:val="28"/>
          <w:szCs w:val="28"/>
        </w:rPr>
      </w:pPr>
      <w:r>
        <w:rPr>
          <w:rFonts w:hint="eastAsia" w:ascii="宋体" w:hAnsi="宋体"/>
          <w:sz w:val="24"/>
          <w:szCs w:val="24"/>
        </w:rPr>
        <w:t>技术权重共60%，包括提供的服务方案、资质证书、获奖证书、类似业绩等评分项。（满分60分）</w:t>
      </w:r>
      <w:bookmarkStart w:id="19" w:name="_Toc414446034"/>
      <w:bookmarkStart w:id="20" w:name="_Toc410631198"/>
      <w:bookmarkStart w:id="21" w:name="_Toc15146"/>
    </w:p>
    <w:p>
      <w:pPr>
        <w:tabs>
          <w:tab w:val="left" w:pos="-94"/>
          <w:tab w:val="left" w:pos="428"/>
        </w:tabs>
        <w:adjustRightInd w:val="0"/>
        <w:spacing w:line="360" w:lineRule="auto"/>
        <w:ind w:firstLine="2249" w:firstLineChars="800"/>
        <w:textAlignment w:val="baseline"/>
        <w:rPr>
          <w:b/>
          <w:sz w:val="28"/>
          <w:szCs w:val="28"/>
        </w:rPr>
      </w:pPr>
      <w:r>
        <w:rPr>
          <w:rFonts w:hint="eastAsia"/>
          <w:b/>
          <w:sz w:val="28"/>
          <w:szCs w:val="28"/>
        </w:rPr>
        <w:t>详细</w:t>
      </w:r>
      <w:r>
        <w:rPr>
          <w:b/>
          <w:sz w:val="28"/>
          <w:szCs w:val="28"/>
        </w:rPr>
        <w:t>评审因素及分值分配表</w:t>
      </w:r>
      <w:bookmarkEnd w:id="19"/>
      <w:bookmarkEnd w:id="20"/>
      <w:bookmarkEnd w:id="21"/>
    </w:p>
    <w:p>
      <w:pPr>
        <w:tabs>
          <w:tab w:val="left" w:pos="-94"/>
          <w:tab w:val="left" w:pos="1620"/>
        </w:tabs>
        <w:adjustRightInd w:val="0"/>
        <w:spacing w:line="360" w:lineRule="auto"/>
        <w:ind w:left="23" w:leftChars="11"/>
        <w:jc w:val="center"/>
        <w:textAlignment w:val="baseline"/>
        <w:rPr>
          <w:rFonts w:ascii="宋体" w:hAnsi="宋体"/>
          <w:szCs w:val="21"/>
        </w:rPr>
      </w:pPr>
      <w:r>
        <w:rPr>
          <w:rFonts w:hint="eastAsia" w:ascii="宋体" w:hAnsi="宋体"/>
          <w:szCs w:val="21"/>
        </w:rPr>
        <w:t>（满分60分）</w:t>
      </w:r>
    </w:p>
    <w:tbl>
      <w:tblPr>
        <w:tblStyle w:val="41"/>
        <w:tblW w:w="87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7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675" w:type="dxa"/>
            <w:noWrap/>
            <w:vAlign w:val="center"/>
          </w:tcPr>
          <w:p>
            <w:pPr>
              <w:spacing w:line="360" w:lineRule="auto"/>
              <w:jc w:val="center"/>
              <w:rPr>
                <w:rFonts w:ascii="宋体" w:hAnsi="宋体" w:cs="宋体-18030"/>
                <w:color w:val="000000" w:themeColor="text1"/>
                <w:sz w:val="24"/>
              </w:rPr>
            </w:pPr>
          </w:p>
          <w:p>
            <w:pPr>
              <w:spacing w:line="360" w:lineRule="auto"/>
              <w:jc w:val="center"/>
              <w:rPr>
                <w:rFonts w:ascii="宋体" w:hAnsi="宋体" w:cs="宋体-18030"/>
                <w:color w:val="000000" w:themeColor="text1"/>
                <w:sz w:val="24"/>
              </w:rPr>
            </w:pPr>
            <w:r>
              <w:rPr>
                <w:rFonts w:hint="eastAsia" w:ascii="宋体" w:hAnsi="宋体" w:cs="宋体-18030"/>
                <w:color w:val="000000" w:themeColor="text1"/>
                <w:sz w:val="24"/>
              </w:rPr>
              <w:t>评分因素</w:t>
            </w:r>
          </w:p>
        </w:tc>
        <w:tc>
          <w:tcPr>
            <w:tcW w:w="7124" w:type="dxa"/>
            <w:noWrap/>
            <w:vAlign w:val="center"/>
          </w:tcPr>
          <w:p>
            <w:pPr>
              <w:spacing w:line="360" w:lineRule="auto"/>
              <w:jc w:val="center"/>
              <w:rPr>
                <w:rFonts w:ascii="宋体" w:hAnsi="宋体" w:cs="宋体-18030"/>
                <w:color w:val="000000" w:themeColor="text1"/>
                <w:sz w:val="24"/>
              </w:rPr>
            </w:pPr>
            <w:r>
              <w:rPr>
                <w:rFonts w:hint="eastAsia" w:ascii="宋体" w:hAnsi="宋体" w:cs="宋体-18030"/>
                <w:color w:val="000000" w:themeColor="text1"/>
                <w:sz w:val="24"/>
              </w:rPr>
              <w:t>评分内容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1675" w:type="dxa"/>
            <w:noWrap/>
            <w:vAlign w:val="center"/>
          </w:tcPr>
          <w:p>
            <w:pPr>
              <w:jc w:val="center"/>
              <w:rPr>
                <w:color w:val="000000" w:themeColor="text1"/>
                <w:sz w:val="24"/>
              </w:rPr>
            </w:pPr>
            <w:r>
              <w:rPr>
                <w:rFonts w:hint="eastAsia"/>
                <w:color w:val="000000" w:themeColor="text1"/>
                <w:sz w:val="24"/>
              </w:rPr>
              <w:t>安保服务方案</w:t>
            </w:r>
          </w:p>
          <w:p>
            <w:pPr>
              <w:jc w:val="center"/>
              <w:rPr>
                <w:color w:val="000000" w:themeColor="text1"/>
                <w:sz w:val="24"/>
              </w:rPr>
            </w:pPr>
            <w:r>
              <w:rPr>
                <w:rFonts w:hint="eastAsia"/>
                <w:color w:val="000000" w:themeColor="text1"/>
                <w:sz w:val="24"/>
              </w:rPr>
              <w:t>（20分）</w:t>
            </w:r>
          </w:p>
        </w:tc>
        <w:tc>
          <w:tcPr>
            <w:tcW w:w="7124" w:type="dxa"/>
            <w:noWrap/>
            <w:vAlign w:val="center"/>
          </w:tcPr>
          <w:p>
            <w:pPr>
              <w:rPr>
                <w:color w:val="000000" w:themeColor="text1"/>
                <w:sz w:val="24"/>
              </w:rPr>
            </w:pPr>
            <w:r>
              <w:rPr>
                <w:rFonts w:hint="eastAsia"/>
                <w:color w:val="000000" w:themeColor="text1"/>
                <w:sz w:val="24"/>
              </w:rPr>
              <w:t>结合本项目保安服务特征，详细阐述服务方案以及具体落实措施。方案和措施科学合理且清晰具体得10～20分；较为科学合理得5～10（含）分；方案普通得0～5（含）分。（需要现场PPT讲解</w:t>
            </w:r>
          </w:p>
          <w:p>
            <w:pPr>
              <w:rPr>
                <w:color w:val="000000" w:themeColor="text1"/>
                <w:sz w:val="24"/>
              </w:rPr>
            </w:pPr>
            <w:r>
              <w:rPr>
                <w:rFonts w:hint="eastAsia"/>
                <w:color w:val="000000" w:themeColor="text1"/>
                <w:sz w:val="24"/>
              </w:rPr>
              <w:t>讲解人必须是公司负责人，且提供近三个月社保证明。）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2" w:hRule="atLeast"/>
        </w:trPr>
        <w:tc>
          <w:tcPr>
            <w:tcW w:w="1675" w:type="dxa"/>
            <w:shd w:val="clear" w:color="auto" w:fill="FFFFFF" w:themeFill="background1"/>
            <w:noWrap/>
            <w:vAlign w:val="center"/>
          </w:tcPr>
          <w:p>
            <w:pPr>
              <w:ind w:firstLine="240" w:firstLineChars="100"/>
              <w:rPr>
                <w:color w:val="000000" w:themeColor="text1"/>
                <w:sz w:val="24"/>
                <w:szCs w:val="22"/>
              </w:rPr>
            </w:pPr>
            <w:r>
              <w:rPr>
                <w:rFonts w:hint="eastAsia"/>
                <w:color w:val="000000" w:themeColor="text1"/>
                <w:sz w:val="24"/>
                <w:szCs w:val="22"/>
              </w:rPr>
              <w:t>管理制度</w:t>
            </w:r>
          </w:p>
          <w:p>
            <w:pPr>
              <w:ind w:firstLine="240" w:firstLineChars="100"/>
              <w:rPr>
                <w:color w:val="000000" w:themeColor="text1"/>
                <w:sz w:val="24"/>
                <w:szCs w:val="22"/>
              </w:rPr>
            </w:pPr>
            <w:r>
              <w:rPr>
                <w:rFonts w:hint="eastAsia"/>
                <w:color w:val="000000" w:themeColor="text1"/>
                <w:sz w:val="24"/>
                <w:szCs w:val="22"/>
              </w:rPr>
              <w:t>（5分）</w:t>
            </w:r>
          </w:p>
        </w:tc>
        <w:tc>
          <w:tcPr>
            <w:tcW w:w="7124" w:type="dxa"/>
            <w:noWrap/>
            <w:vAlign w:val="center"/>
          </w:tcPr>
          <w:p>
            <w:pPr>
              <w:rPr>
                <w:color w:val="000000" w:themeColor="text1"/>
                <w:sz w:val="24"/>
              </w:rPr>
            </w:pPr>
            <w:r>
              <w:rPr>
                <w:rFonts w:hint="eastAsia"/>
                <w:color w:val="000000" w:themeColor="text1"/>
                <w:sz w:val="24"/>
              </w:rPr>
              <w:t>有公共制度、内部岗位责任制、管理维护运作制度、档案管理制度，值班制度，考核奖惩办法。内容描述具体、清晰、全面得2～5分，内容描述一般、可行得1～2（含）分，内容描述简单、粗糙得0～1（含）分。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trPr>
        <w:tc>
          <w:tcPr>
            <w:tcW w:w="1675" w:type="dxa"/>
            <w:shd w:val="clear" w:color="auto" w:fill="FFFFFF" w:themeFill="background1"/>
            <w:noWrap/>
            <w:vAlign w:val="center"/>
          </w:tcPr>
          <w:p>
            <w:pPr>
              <w:rPr>
                <w:color w:val="000000" w:themeColor="text1"/>
                <w:sz w:val="24"/>
                <w:szCs w:val="22"/>
              </w:rPr>
            </w:pPr>
            <w:r>
              <w:rPr>
                <w:rFonts w:hint="eastAsia"/>
                <w:color w:val="000000" w:themeColor="text1"/>
                <w:sz w:val="24"/>
                <w:szCs w:val="22"/>
              </w:rPr>
              <w:t>保安人员资质</w:t>
            </w:r>
          </w:p>
          <w:p>
            <w:pPr>
              <w:ind w:firstLine="240" w:firstLineChars="100"/>
              <w:rPr>
                <w:color w:val="000000" w:themeColor="text1"/>
                <w:sz w:val="24"/>
                <w:szCs w:val="22"/>
              </w:rPr>
            </w:pPr>
            <w:r>
              <w:rPr>
                <w:rFonts w:hint="eastAsia"/>
                <w:color w:val="000000" w:themeColor="text1"/>
                <w:sz w:val="24"/>
                <w:szCs w:val="22"/>
              </w:rPr>
              <w:t>（10分）</w:t>
            </w:r>
          </w:p>
        </w:tc>
        <w:tc>
          <w:tcPr>
            <w:tcW w:w="7124" w:type="dxa"/>
            <w:noWrap/>
            <w:vAlign w:val="center"/>
          </w:tcPr>
          <w:p>
            <w:pPr>
              <w:rPr>
                <w:color w:val="000000" w:themeColor="text1"/>
                <w:sz w:val="24"/>
              </w:rPr>
            </w:pPr>
            <w:r>
              <w:rPr>
                <w:rFonts w:hint="eastAsia"/>
                <w:color w:val="000000" w:themeColor="text1"/>
                <w:sz w:val="24"/>
              </w:rPr>
              <w:t>提供31份专职保安员证书（须包括保安员证书），提供12份消防员证，满分10分。每少提供一个扣0.5，扣完为止。</w:t>
            </w:r>
          </w:p>
          <w:p>
            <w:pPr>
              <w:rPr>
                <w:b/>
                <w:color w:val="000000" w:themeColor="text1"/>
                <w:sz w:val="24"/>
              </w:rPr>
            </w:pPr>
            <w:r>
              <w:rPr>
                <w:rFonts w:hint="eastAsia"/>
                <w:b/>
                <w:color w:val="000000" w:themeColor="text1"/>
                <w:sz w:val="24"/>
              </w:rPr>
              <w:t>注：</w:t>
            </w:r>
            <w:r>
              <w:rPr>
                <w:rFonts w:hint="eastAsia" w:ascii="宋体" w:hAnsi="宋体"/>
                <w:b/>
                <w:color w:val="000000" w:themeColor="text1"/>
                <w:sz w:val="24"/>
              </w:rPr>
              <w:t>需提供上</w:t>
            </w:r>
            <w:r>
              <w:rPr>
                <w:rFonts w:hint="eastAsia"/>
                <w:b/>
                <w:color w:val="000000" w:themeColor="text1"/>
                <w:sz w:val="24"/>
              </w:rPr>
              <w:t xml:space="preserve">述人员证书并提供原件备查，否则不得分。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6" w:hRule="atLeast"/>
        </w:trPr>
        <w:tc>
          <w:tcPr>
            <w:tcW w:w="1675" w:type="dxa"/>
            <w:shd w:val="clear" w:color="auto" w:fill="FFFFFF" w:themeFill="background1"/>
            <w:noWrap/>
            <w:vAlign w:val="center"/>
          </w:tcPr>
          <w:p>
            <w:pPr>
              <w:rPr>
                <w:color w:val="000000" w:themeColor="text1"/>
                <w:sz w:val="24"/>
                <w:szCs w:val="22"/>
              </w:rPr>
            </w:pPr>
            <w:r>
              <w:rPr>
                <w:rFonts w:hint="eastAsia"/>
                <w:color w:val="000000" w:themeColor="text1"/>
                <w:sz w:val="24"/>
                <w:szCs w:val="22"/>
                <w:lang w:val="zh-CN"/>
              </w:rPr>
              <w:t>应急事件处理预案</w:t>
            </w:r>
            <w:r>
              <w:rPr>
                <w:rFonts w:hint="eastAsia"/>
                <w:color w:val="000000" w:themeColor="text1"/>
                <w:sz w:val="24"/>
                <w:szCs w:val="22"/>
              </w:rPr>
              <w:t>（10分）</w:t>
            </w:r>
          </w:p>
        </w:tc>
        <w:tc>
          <w:tcPr>
            <w:tcW w:w="7124" w:type="dxa"/>
            <w:noWrap/>
            <w:vAlign w:val="center"/>
          </w:tcPr>
          <w:p>
            <w:pPr>
              <w:rPr>
                <w:color w:val="000000" w:themeColor="text1"/>
                <w:sz w:val="24"/>
              </w:rPr>
            </w:pPr>
            <w:r>
              <w:rPr>
                <w:rFonts w:hint="eastAsia" w:ascii="宋体" w:hAnsi="宋体"/>
                <w:color w:val="000000" w:themeColor="text1"/>
                <w:sz w:val="24"/>
                <w:szCs w:val="24"/>
              </w:rPr>
              <w:t>根据</w:t>
            </w:r>
            <w:r>
              <w:rPr>
                <w:rFonts w:hint="eastAsia" w:ascii="宋体" w:hAnsi="宋体" w:cs="宋体"/>
                <w:color w:val="000000" w:themeColor="text1"/>
                <w:sz w:val="24"/>
                <w:szCs w:val="24"/>
              </w:rPr>
              <w:t>投标供应商针对本项目制订的应急方案进行综合评分。应急预案方案应体现</w:t>
            </w:r>
            <w:r>
              <w:rPr>
                <w:rFonts w:hint="eastAsia" w:ascii="宋体" w:hAnsi="宋体"/>
                <w:color w:val="000000" w:themeColor="text1"/>
                <w:sz w:val="24"/>
                <w:szCs w:val="24"/>
              </w:rPr>
              <w:t>招标方需求，有治安、交通、消防、医疗纠纷处置等应急管理预案。预案应健全，思路可行，处理适宜，具可操作性。</w:t>
            </w:r>
            <w:r>
              <w:rPr>
                <w:rFonts w:hint="eastAsia" w:ascii="宋体" w:hAnsi="宋体" w:cs="宋体"/>
                <w:color w:val="000000" w:themeColor="text1"/>
                <w:sz w:val="24"/>
                <w:szCs w:val="24"/>
              </w:rPr>
              <w:t>优良得8-10分，一般得4-7分，差得0-3分，未提供的不得分</w:t>
            </w:r>
            <w:r>
              <w:rPr>
                <w:rFonts w:hint="eastAsia" w:ascii="宋体" w:hAnsi="宋体" w:cs="宋体"/>
                <w:color w:val="000000" w:themeColor="text1"/>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4" w:hRule="atLeast"/>
        </w:trPr>
        <w:tc>
          <w:tcPr>
            <w:tcW w:w="1675" w:type="dxa"/>
            <w:noWrap/>
            <w:vAlign w:val="center"/>
          </w:tcPr>
          <w:p>
            <w:pPr>
              <w:spacing w:line="360" w:lineRule="auto"/>
              <w:jc w:val="center"/>
              <w:rPr>
                <w:color w:val="000000" w:themeColor="text1"/>
                <w:sz w:val="24"/>
              </w:rPr>
            </w:pPr>
          </w:p>
        </w:tc>
        <w:tc>
          <w:tcPr>
            <w:tcW w:w="7124" w:type="dxa"/>
            <w:noWrap/>
            <w:vAlign w:val="center"/>
          </w:tcPr>
          <w:p>
            <w:pPr>
              <w:spacing w:line="400" w:lineRule="exact"/>
              <w:rPr>
                <w:rFonts w:ascii="宋体" w:hAnsi="宋体"/>
                <w:color w:val="000000" w:themeColor="text1"/>
                <w:sz w:val="24"/>
                <w:szCs w:val="24"/>
              </w:rPr>
            </w:pPr>
            <w:r>
              <w:rPr>
                <w:rFonts w:hint="eastAsia" w:ascii="宋体" w:hAnsi="宋体"/>
                <w:color w:val="000000" w:themeColor="text1"/>
                <w:sz w:val="24"/>
                <w:szCs w:val="24"/>
              </w:rPr>
              <w:t>投标人具有经中国国家认证认可监督管理委员会认证机构颁发的有效期内的</w:t>
            </w:r>
          </w:p>
          <w:p>
            <w:pPr>
              <w:spacing w:line="400" w:lineRule="exact"/>
              <w:rPr>
                <w:rFonts w:ascii="宋体" w:hAns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、质量管理体系认证证书的，得3分；</w:t>
            </w:r>
          </w:p>
          <w:p>
            <w:pPr>
              <w:spacing w:line="400" w:lineRule="exact"/>
              <w:rPr>
                <w:rFonts w:ascii="宋体" w:hAns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、环境管理体系认证证书的，得3分；</w:t>
            </w:r>
          </w:p>
          <w:p>
            <w:pPr>
              <w:spacing w:line="400" w:lineRule="exact"/>
              <w:rPr>
                <w:rFonts w:ascii="宋体" w:hAnsi="宋体"/>
                <w:color w:val="000000" w:themeColor="text1"/>
                <w:sz w:val="24"/>
                <w:szCs w:val="24"/>
              </w:rPr>
            </w:pPr>
            <w:r>
              <w:rPr>
                <w:rFonts w:ascii="宋体" w:hAnsi="宋体"/>
                <w:color w:val="000000" w:themeColor="text1"/>
                <w:sz w:val="24"/>
                <w:szCs w:val="24"/>
              </w:rPr>
              <w:t>3</w:t>
            </w:r>
            <w:r>
              <w:rPr>
                <w:rFonts w:hint="eastAsia" w:ascii="宋体" w:hAnsi="宋体"/>
                <w:color w:val="000000" w:themeColor="text1"/>
                <w:sz w:val="24"/>
                <w:szCs w:val="24"/>
              </w:rPr>
              <w:t>、职业健康安全管理体系认证证书的，得3分。最高得9分</w:t>
            </w:r>
          </w:p>
          <w:p>
            <w:pPr>
              <w:rPr>
                <w:rFonts w:ascii="宋体" w:hAnsi="宋体"/>
                <w:color w:val="000000" w:themeColor="text1"/>
                <w:sz w:val="24"/>
                <w:szCs w:val="24"/>
              </w:rPr>
            </w:pPr>
            <w:r>
              <w:rPr>
                <w:rFonts w:hint="eastAsia" w:ascii="宋体" w:hAnsi="宋体"/>
                <w:color w:val="000000" w:themeColor="text1"/>
                <w:sz w:val="24"/>
                <w:szCs w:val="24"/>
              </w:rPr>
              <w:t>注：投标文件中提供以上证书扫描件或影印件。</w:t>
            </w:r>
          </w:p>
          <w:p>
            <w:pPr>
              <w:rPr>
                <w:rFonts w:ascii="宋体" w:hAnsi="宋体"/>
                <w:color w:val="000000" w:themeColor="text1"/>
                <w:sz w:val="24"/>
                <w:szCs w:val="24"/>
              </w:rPr>
            </w:pPr>
            <w:r>
              <w:rPr>
                <w:rFonts w:hint="eastAsia" w:ascii="宋体" w:hAnsi="宋体"/>
                <w:color w:val="000000" w:themeColor="text1"/>
                <w:sz w:val="24"/>
                <w:szCs w:val="24"/>
              </w:rPr>
              <w:t>2015年1月1日以来（证书颁发日期为准）投标人每获得一个国家级或政府部门表彰的优秀（先进）单位得3分，省级政府部门表彰的得2分，市（区）级政府部门表彰的得1分，没有不得分。最高得6分。（现场必须携带原件备查）</w:t>
            </w:r>
          </w:p>
        </w:tc>
      </w:tr>
    </w:tbl>
    <w:tbl>
      <w:tblPr>
        <w:tblStyle w:val="42"/>
        <w:tblpPr w:leftFromText="180" w:rightFromText="180" w:vertAnchor="text" w:tblpX="9916" w:tblpY="-1404"/>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324" w:type="dxa"/>
          </w:tcPr>
          <w:p>
            <w:pPr>
              <w:jc w:val="left"/>
              <w:rPr>
                <w:rFonts w:ascii="宋体" w:hAnsi="宋体"/>
                <w:b/>
                <w:color w:val="000000" w:themeColor="text1"/>
                <w:sz w:val="24"/>
                <w:szCs w:val="24"/>
              </w:rPr>
            </w:pPr>
          </w:p>
        </w:tc>
      </w:tr>
    </w:tbl>
    <w:p>
      <w:pPr>
        <w:jc w:val="left"/>
        <w:rPr>
          <w:rFonts w:ascii="宋体" w:hAnsi="宋体" w:cs="宋体"/>
          <w:b/>
          <w:bCs/>
          <w:color w:val="000000" w:themeColor="text1"/>
          <w:kern w:val="0"/>
          <w:sz w:val="28"/>
          <w:szCs w:val="28"/>
        </w:rPr>
      </w:pPr>
      <w:r>
        <w:rPr>
          <w:rFonts w:hint="eastAsia" w:ascii="宋体" w:hAnsi="宋体"/>
          <w:b/>
          <w:color w:val="000000" w:themeColor="text1"/>
          <w:sz w:val="24"/>
          <w:szCs w:val="24"/>
        </w:rPr>
        <w:t>备注：本次招标，如果得分相同，现场经院方研究决定中标人。</w:t>
      </w: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widowControl/>
        <w:shd w:val="clear" w:color="auto" w:fill="FFFFFF"/>
        <w:spacing w:line="520" w:lineRule="exact"/>
        <w:jc w:val="left"/>
        <w:rPr>
          <w:rFonts w:ascii="宋体" w:hAnsi="宋体" w:cs="宋体"/>
          <w:b/>
          <w:bCs/>
          <w:color w:val="000000"/>
          <w:kern w:val="0"/>
          <w:sz w:val="28"/>
          <w:szCs w:val="28"/>
        </w:rPr>
      </w:pPr>
    </w:p>
    <w:p>
      <w:pPr>
        <w:tabs>
          <w:tab w:val="left" w:pos="900"/>
        </w:tabs>
        <w:spacing w:line="360" w:lineRule="auto"/>
        <w:jc w:val="left"/>
        <w:rPr>
          <w:rFonts w:ascii="宋体" w:hAnsi="宋体"/>
          <w:b/>
          <w:sz w:val="24"/>
        </w:rPr>
      </w:pPr>
    </w:p>
    <w:p>
      <w:pPr>
        <w:ind w:firstLine="5760" w:firstLineChars="2400"/>
      </w:pPr>
      <w:r>
        <w:rPr>
          <w:rFonts w:asciiTheme="minorEastAsia" w:hAnsiTheme="minorEastAsia" w:eastAsiaTheme="minorEastAsia"/>
          <w:sz w:val="24"/>
          <w:szCs w:val="24"/>
        </w:rPr>
        <w:br w:type="textWrapping"/>
      </w:r>
      <w:r>
        <w:br w:type="textWrapping"/>
      </w:r>
      <w:r>
        <w:br w:type="textWrapping"/>
      </w:r>
    </w:p>
    <w:p>
      <w:pPr>
        <w:jc w:val="left"/>
      </w:pPr>
      <w:r>
        <w:br w:type="textWrapping"/>
      </w:r>
      <w:r>
        <w:br w:type="textWrapping"/>
      </w:r>
    </w:p>
    <w:p>
      <w:pPr>
        <w:pStyle w:val="2"/>
        <w:keepLines/>
        <w:numPr>
          <w:ilvl w:val="0"/>
          <w:numId w:val="0"/>
        </w:numPr>
        <w:spacing w:line="320" w:lineRule="auto"/>
        <w:rPr>
          <w:b/>
          <w:bCs/>
          <w:sz w:val="44"/>
          <w:szCs w:val="28"/>
        </w:rPr>
      </w:pPr>
      <w:bookmarkStart w:id="22" w:name="_Toc2007"/>
      <w:r>
        <w:rPr>
          <w:rFonts w:hint="eastAsia"/>
          <w:b/>
          <w:bCs/>
          <w:sz w:val="44"/>
          <w:szCs w:val="28"/>
        </w:rPr>
        <w:t>第二部分</w:t>
      </w:r>
      <w:bookmarkEnd w:id="22"/>
    </w:p>
    <w:p>
      <w:pPr>
        <w:rPr>
          <w:rFonts w:ascii="宋体" w:hAnsi="宋体"/>
          <w:sz w:val="24"/>
          <w:szCs w:val="24"/>
        </w:rPr>
      </w:pPr>
    </w:p>
    <w:p>
      <w:pPr>
        <w:rPr>
          <w:rFonts w:ascii="宋体" w:hAnsi="宋体"/>
          <w:sz w:val="24"/>
          <w:szCs w:val="24"/>
        </w:rPr>
      </w:pPr>
    </w:p>
    <w:p>
      <w:pPr>
        <w:jc w:val="center"/>
        <w:outlineLvl w:val="1"/>
        <w:rPr>
          <w:rFonts w:ascii="宋体" w:hAnsi="宋体"/>
          <w:b/>
          <w:sz w:val="44"/>
          <w:szCs w:val="44"/>
        </w:rPr>
      </w:pPr>
      <w:bookmarkStart w:id="23" w:name="_Hlk450146333"/>
      <w:bookmarkStart w:id="24" w:name="_Toc9920"/>
      <w:r>
        <w:rPr>
          <w:rFonts w:hint="eastAsia" w:ascii="宋体" w:hAnsi="宋体"/>
          <w:b/>
          <w:sz w:val="44"/>
          <w:szCs w:val="44"/>
        </w:rPr>
        <w:t>投   标</w:t>
      </w:r>
      <w:bookmarkEnd w:id="23"/>
      <w:r>
        <w:rPr>
          <w:rFonts w:hint="eastAsia" w:ascii="宋体" w:hAnsi="宋体"/>
          <w:b/>
          <w:sz w:val="44"/>
          <w:szCs w:val="44"/>
        </w:rPr>
        <w:t xml:space="preserve">   文   件</w:t>
      </w:r>
      <w:bookmarkEnd w:id="24"/>
    </w:p>
    <w:p>
      <w:pPr>
        <w:jc w:val="center"/>
        <w:rPr>
          <w:rFonts w:ascii="宋体" w:hAnsi="宋体"/>
          <w:b/>
          <w:sz w:val="44"/>
          <w:szCs w:val="44"/>
        </w:rPr>
      </w:pPr>
    </w:p>
    <w:p>
      <w:pPr>
        <w:rPr>
          <w:rFonts w:ascii="宋体" w:hAnsi="宋体"/>
          <w:b/>
          <w:sz w:val="24"/>
          <w:szCs w:val="24"/>
          <w:u w:val="single"/>
        </w:rPr>
      </w:pPr>
      <w:r>
        <w:rPr>
          <w:rFonts w:hint="eastAsia" w:ascii="宋体" w:hAnsi="宋体"/>
          <w:b/>
          <w:sz w:val="24"/>
          <w:szCs w:val="24"/>
        </w:rPr>
        <w:t xml:space="preserve">             标书编号：LASLYY-</w:t>
      </w: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jc w:val="center"/>
        <w:rPr>
          <w:rFonts w:ascii="宋体" w:hAnsi="宋体"/>
          <w:sz w:val="24"/>
          <w:szCs w:val="24"/>
        </w:rPr>
      </w:pPr>
    </w:p>
    <w:p>
      <w:pPr>
        <w:ind w:firstLine="720" w:firstLineChars="300"/>
        <w:rPr>
          <w:rFonts w:ascii="宋体" w:hAnsi="宋体"/>
          <w:sz w:val="24"/>
          <w:szCs w:val="24"/>
          <w:u w:val="single"/>
        </w:rPr>
      </w:pPr>
      <w:r>
        <w:rPr>
          <w:rFonts w:hint="eastAsia" w:ascii="宋体" w:hAnsi="宋体"/>
          <w:sz w:val="24"/>
          <w:szCs w:val="24"/>
        </w:rPr>
        <w:t>项目名称：</w:t>
      </w:r>
    </w:p>
    <w:p>
      <w:pPr>
        <w:ind w:firstLine="720" w:firstLineChars="300"/>
        <w:rPr>
          <w:rFonts w:ascii="宋体" w:hAnsi="宋体"/>
          <w:b/>
          <w:sz w:val="24"/>
          <w:szCs w:val="24"/>
          <w:u w:val="single"/>
        </w:rPr>
      </w:pPr>
      <w:r>
        <w:rPr>
          <w:rFonts w:hint="eastAsia" w:ascii="宋体" w:hAnsi="宋体"/>
          <w:sz w:val="24"/>
          <w:szCs w:val="24"/>
        </w:rPr>
        <w:t>投 标 人：</w:t>
      </w:r>
    </w:p>
    <w:p>
      <w:pPr>
        <w:ind w:firstLine="2400" w:firstLineChars="1000"/>
        <w:rPr>
          <w:rFonts w:ascii="宋体" w:hAnsi="宋体"/>
          <w:sz w:val="24"/>
          <w:szCs w:val="24"/>
        </w:rPr>
      </w:pPr>
      <w:r>
        <w:rPr>
          <w:rFonts w:hint="eastAsia" w:ascii="宋体" w:hAnsi="宋体"/>
          <w:sz w:val="24"/>
          <w:szCs w:val="24"/>
        </w:rPr>
        <w:t>年月日</w:t>
      </w:r>
    </w:p>
    <w:p>
      <w:pPr>
        <w:rPr>
          <w:rFonts w:ascii="宋体" w:hAnsi="宋体"/>
          <w:b/>
          <w:sz w:val="24"/>
          <w:szCs w:val="24"/>
        </w:rPr>
      </w:pPr>
      <w:bookmarkStart w:id="25" w:name="_Hlk450146465"/>
    </w:p>
    <w:p>
      <w:pPr>
        <w:rPr>
          <w:rFonts w:ascii="宋体" w:hAnsi="宋体"/>
          <w:b/>
          <w:sz w:val="24"/>
          <w:szCs w:val="24"/>
        </w:rPr>
      </w:pPr>
    </w:p>
    <w:p>
      <w:pPr>
        <w:pStyle w:val="3"/>
        <w:numPr>
          <w:ilvl w:val="0"/>
          <w:numId w:val="6"/>
        </w:numPr>
        <w:spacing w:line="580" w:lineRule="exact"/>
        <w:rPr>
          <w:rFonts w:ascii="宋体" w:hAnsi="宋体" w:eastAsia="宋体" w:cs="Arial"/>
          <w:sz w:val="24"/>
          <w:szCs w:val="24"/>
        </w:rPr>
      </w:pPr>
      <w:bookmarkStart w:id="26" w:name="_Toc13316"/>
      <w:r>
        <w:rPr>
          <w:rFonts w:hint="eastAsia" w:ascii="宋体" w:hAnsi="宋体" w:eastAsia="宋体" w:cs="Arial"/>
          <w:sz w:val="24"/>
          <w:szCs w:val="24"/>
        </w:rPr>
        <w:t>投标函</w:t>
      </w:r>
      <w:bookmarkEnd w:id="25"/>
      <w:r>
        <w:rPr>
          <w:rFonts w:hint="eastAsia" w:ascii="宋体" w:hAnsi="宋体" w:eastAsia="宋体" w:cs="Arial"/>
          <w:sz w:val="24"/>
          <w:szCs w:val="24"/>
        </w:rPr>
        <w:t>（格式）</w:t>
      </w:r>
      <w:bookmarkEnd w:id="26"/>
    </w:p>
    <w:p>
      <w:pPr>
        <w:rPr>
          <w:rFonts w:ascii="宋体" w:hAnsi="宋体"/>
          <w:b/>
          <w:sz w:val="24"/>
          <w:szCs w:val="24"/>
        </w:rPr>
      </w:pPr>
      <w:r>
        <w:rPr>
          <w:rFonts w:hint="eastAsia" w:ascii="宋体" w:hAnsi="宋体"/>
          <w:b/>
          <w:sz w:val="24"/>
          <w:szCs w:val="24"/>
        </w:rPr>
        <w:t>致：六安世立医院</w:t>
      </w:r>
    </w:p>
    <w:p>
      <w:pPr>
        <w:ind w:firstLine="480" w:firstLineChars="200"/>
        <w:jc w:val="left"/>
        <w:rPr>
          <w:rFonts w:ascii="宋体" w:hAnsi="宋体"/>
          <w:sz w:val="24"/>
          <w:szCs w:val="24"/>
        </w:rPr>
      </w:pPr>
      <w:r>
        <w:rPr>
          <w:rFonts w:hint="eastAsia" w:ascii="宋体" w:hAnsi="宋体"/>
          <w:sz w:val="24"/>
          <w:szCs w:val="24"/>
        </w:rPr>
        <w:t>1、根据贵中心LASLYY-号招标公告的内容，我们决定参加贵中心组织的“”项目的招标采购。我方授权(姓名和职务)代表我方（投标单位的名称）全权处理本项目投标的有关事宜。</w:t>
      </w:r>
    </w:p>
    <w:p>
      <w:pPr>
        <w:ind w:firstLine="480" w:firstLineChars="200"/>
        <w:jc w:val="left"/>
        <w:rPr>
          <w:rFonts w:ascii="宋体" w:hAnsi="宋体"/>
          <w:b/>
          <w:sz w:val="24"/>
          <w:szCs w:val="24"/>
        </w:rPr>
      </w:pPr>
      <w:r>
        <w:rPr>
          <w:rFonts w:hint="eastAsia" w:ascii="宋体" w:hAnsi="宋体"/>
          <w:sz w:val="24"/>
          <w:szCs w:val="24"/>
        </w:rPr>
        <w:t>2、我方愿意按照招标文件规定的各项要求，向甲方提供所需的所有服务，总投标价为人民币（大写）。</w:t>
      </w:r>
    </w:p>
    <w:p>
      <w:pPr>
        <w:ind w:firstLine="482" w:firstLineChars="200"/>
        <w:jc w:val="left"/>
        <w:rPr>
          <w:rFonts w:ascii="宋体" w:hAnsi="宋体"/>
          <w:b/>
          <w:sz w:val="24"/>
          <w:szCs w:val="24"/>
        </w:rPr>
      </w:pPr>
      <w:r>
        <w:rPr>
          <w:rFonts w:hint="eastAsia" w:ascii="宋体" w:hAnsi="宋体"/>
          <w:b/>
          <w:sz w:val="24"/>
          <w:szCs w:val="24"/>
        </w:rPr>
        <w:t>（备注：</w:t>
      </w:r>
      <w:r>
        <w:rPr>
          <w:rFonts w:hint="eastAsia" w:ascii="宋体" w:hAnsi="宋体" w:cs="宋体"/>
          <w:b/>
          <w:kern w:val="0"/>
          <w:sz w:val="24"/>
          <w:szCs w:val="24"/>
        </w:rPr>
        <w:t>消防安保：   元；</w:t>
      </w:r>
      <w:r>
        <w:rPr>
          <w:rFonts w:hint="eastAsia" w:ascii="宋体" w:hAnsi="宋体"/>
          <w:b/>
          <w:sz w:val="24"/>
          <w:szCs w:val="24"/>
        </w:rPr>
        <w:t>）。</w:t>
      </w:r>
    </w:p>
    <w:p>
      <w:pPr>
        <w:ind w:firstLine="480" w:firstLineChars="200"/>
        <w:jc w:val="left"/>
        <w:rPr>
          <w:rFonts w:ascii="宋体" w:hAnsi="宋体"/>
          <w:sz w:val="24"/>
          <w:szCs w:val="24"/>
        </w:rPr>
      </w:pPr>
      <w:r>
        <w:rPr>
          <w:rFonts w:hint="eastAsia" w:ascii="宋体" w:hAnsi="宋体"/>
          <w:sz w:val="24"/>
          <w:szCs w:val="24"/>
        </w:rPr>
        <w:t>3、一旦我方中标，我方将严格履行合同规定的责任和义务，保证于合同签字生效后按时、按量完成项目的施工、安装、调试，并交付买方验收、使用。</w:t>
      </w:r>
    </w:p>
    <w:p>
      <w:pPr>
        <w:ind w:firstLine="480" w:firstLineChars="200"/>
        <w:jc w:val="left"/>
        <w:rPr>
          <w:rFonts w:ascii="宋体" w:hAnsi="宋体"/>
          <w:sz w:val="24"/>
          <w:szCs w:val="24"/>
        </w:rPr>
      </w:pPr>
      <w:r>
        <w:rPr>
          <w:rFonts w:hint="eastAsia" w:ascii="宋体" w:hAnsi="宋体"/>
          <w:sz w:val="24"/>
          <w:szCs w:val="24"/>
        </w:rPr>
        <w:t>4、我方同意按照招标文件的要求，向贵院递交金额为人民币（大写）</w:t>
      </w:r>
    </w:p>
    <w:p>
      <w:pPr>
        <w:ind w:firstLine="480" w:firstLineChars="200"/>
        <w:jc w:val="left"/>
        <w:rPr>
          <w:rFonts w:ascii="宋体" w:hAnsi="宋体"/>
          <w:sz w:val="24"/>
          <w:szCs w:val="24"/>
        </w:rPr>
      </w:pPr>
      <w:r>
        <w:rPr>
          <w:rFonts w:hint="eastAsia" w:ascii="宋体" w:hAnsi="宋体"/>
          <w:sz w:val="24"/>
          <w:szCs w:val="24"/>
          <w:u w:val="single"/>
        </w:rPr>
        <w:t xml:space="preserve">壹万元  </w:t>
      </w:r>
      <w:r>
        <w:rPr>
          <w:rFonts w:hint="eastAsia" w:ascii="宋体" w:hAnsi="宋体"/>
          <w:sz w:val="24"/>
          <w:szCs w:val="24"/>
        </w:rPr>
        <w:t>的投标保证金。并且承诺，在投标有效期内如果我方撤回投标文件或中标后拒绝签订合同，我方将放弃要求贵院退还该投标保证金的权力。</w:t>
      </w:r>
    </w:p>
    <w:p>
      <w:pPr>
        <w:ind w:firstLine="480" w:firstLineChars="200"/>
        <w:jc w:val="left"/>
        <w:rPr>
          <w:rFonts w:ascii="宋体" w:hAnsi="宋体"/>
          <w:sz w:val="24"/>
          <w:szCs w:val="24"/>
        </w:rPr>
      </w:pPr>
      <w:r>
        <w:rPr>
          <w:rFonts w:hint="eastAsia" w:ascii="宋体" w:hAnsi="宋体"/>
          <w:sz w:val="24"/>
          <w:szCs w:val="24"/>
        </w:rPr>
        <w:t>5、我方为本项目提交的投标文件一式伍份，其中正本一份、副本肆份。</w:t>
      </w:r>
    </w:p>
    <w:p>
      <w:pPr>
        <w:tabs>
          <w:tab w:val="left" w:pos="840"/>
        </w:tabs>
        <w:ind w:firstLine="480" w:firstLineChars="200"/>
        <w:jc w:val="left"/>
        <w:rPr>
          <w:rFonts w:ascii="宋体" w:hAnsi="宋体"/>
          <w:sz w:val="24"/>
          <w:szCs w:val="24"/>
        </w:rPr>
      </w:pPr>
      <w:r>
        <w:rPr>
          <w:rFonts w:hint="eastAsia" w:ascii="宋体" w:hAnsi="宋体"/>
          <w:sz w:val="24"/>
          <w:szCs w:val="24"/>
        </w:rPr>
        <w:t>6、我方愿意提供贵院可能另外要求的、与投标有关的文件资料，并保证我方已提供和将要提供的文件是真实的、准确的。</w:t>
      </w:r>
    </w:p>
    <w:p>
      <w:pPr>
        <w:spacing w:line="0" w:lineRule="atLeast"/>
        <w:ind w:firstLine="539"/>
        <w:rPr>
          <w:rFonts w:ascii="宋体" w:hAnsi="宋体"/>
          <w:sz w:val="24"/>
          <w:szCs w:val="24"/>
        </w:rPr>
      </w:pPr>
    </w:p>
    <w:p>
      <w:pPr>
        <w:spacing w:line="0" w:lineRule="atLeast"/>
        <w:ind w:firstLine="539"/>
        <w:rPr>
          <w:rFonts w:ascii="宋体" w:hAnsi="宋体"/>
          <w:sz w:val="24"/>
          <w:szCs w:val="24"/>
        </w:rPr>
      </w:pPr>
    </w:p>
    <w:p>
      <w:pPr>
        <w:spacing w:line="0" w:lineRule="atLeast"/>
        <w:ind w:firstLine="539"/>
        <w:rPr>
          <w:rFonts w:ascii="宋体" w:hAnsi="宋体"/>
          <w:sz w:val="24"/>
          <w:szCs w:val="24"/>
        </w:rPr>
      </w:pPr>
    </w:p>
    <w:p>
      <w:pPr>
        <w:spacing w:line="0" w:lineRule="atLeast"/>
        <w:ind w:right="480" w:firstLine="539"/>
        <w:jc w:val="center"/>
        <w:rPr>
          <w:rFonts w:ascii="宋体" w:hAnsi="宋体"/>
          <w:sz w:val="24"/>
          <w:szCs w:val="24"/>
        </w:rPr>
      </w:pPr>
    </w:p>
    <w:p>
      <w:pPr>
        <w:spacing w:line="0" w:lineRule="atLeast"/>
        <w:ind w:right="480" w:firstLine="539"/>
        <w:jc w:val="center"/>
        <w:rPr>
          <w:rFonts w:ascii="宋体" w:hAnsi="宋体"/>
          <w:sz w:val="24"/>
          <w:szCs w:val="24"/>
        </w:rPr>
      </w:pPr>
    </w:p>
    <w:p>
      <w:pPr>
        <w:spacing w:line="0" w:lineRule="atLeast"/>
        <w:ind w:right="120" w:firstLine="539"/>
        <w:jc w:val="right"/>
        <w:rPr>
          <w:rFonts w:ascii="宋体" w:hAnsi="宋体"/>
          <w:sz w:val="24"/>
          <w:szCs w:val="24"/>
        </w:rPr>
      </w:pPr>
      <w:r>
        <w:rPr>
          <w:rFonts w:hint="eastAsia" w:ascii="宋体" w:hAnsi="宋体"/>
          <w:sz w:val="24"/>
          <w:szCs w:val="24"/>
        </w:rPr>
        <w:t>投标单位名称：</w:t>
      </w:r>
      <w:r>
        <w:rPr>
          <w:rFonts w:hint="eastAsia" w:ascii="宋体" w:hAnsi="宋体"/>
          <w:sz w:val="24"/>
          <w:szCs w:val="24"/>
          <w:u w:val="single"/>
        </w:rPr>
        <w:t xml:space="preserve">       （公    章）        </w:t>
      </w:r>
    </w:p>
    <w:p>
      <w:pPr>
        <w:spacing w:line="0" w:lineRule="atLeast"/>
        <w:ind w:firstLine="539"/>
        <w:jc w:val="right"/>
        <w:rPr>
          <w:rFonts w:ascii="宋体" w:hAnsi="宋体"/>
          <w:sz w:val="24"/>
          <w:szCs w:val="24"/>
        </w:rPr>
      </w:pPr>
    </w:p>
    <w:p>
      <w:pPr>
        <w:wordWrap w:val="0"/>
        <w:ind w:firstLine="645"/>
        <w:jc w:val="right"/>
        <w:rPr>
          <w:rFonts w:ascii="宋体" w:hAnsi="宋体"/>
          <w:sz w:val="24"/>
          <w:szCs w:val="24"/>
          <w:u w:val="single"/>
        </w:rPr>
      </w:pPr>
      <w:r>
        <w:rPr>
          <w:rFonts w:hint="eastAsia" w:ascii="宋体" w:hAnsi="宋体"/>
          <w:sz w:val="24"/>
          <w:szCs w:val="24"/>
        </w:rPr>
        <w:t>投标单位授权代表签字：</w:t>
      </w:r>
    </w:p>
    <w:p>
      <w:pPr>
        <w:wordWrap w:val="0"/>
        <w:jc w:val="right"/>
        <w:rPr>
          <w:rFonts w:hint="eastAsia" w:ascii="宋体" w:hAnsi="宋体"/>
          <w:sz w:val="24"/>
          <w:szCs w:val="24"/>
        </w:rPr>
      </w:pPr>
      <w:r>
        <w:rPr>
          <w:rFonts w:hint="eastAsia" w:ascii="宋体" w:hAnsi="宋体"/>
          <w:sz w:val="24"/>
          <w:szCs w:val="24"/>
        </w:rPr>
        <w:t xml:space="preserve">                   日    期：</w:t>
      </w:r>
    </w:p>
    <w:p>
      <w:pPr>
        <w:ind w:right="960"/>
        <w:jc w:val="center"/>
        <w:rPr>
          <w:rFonts w:hint="eastAsia" w:ascii="宋体" w:hAnsi="宋体" w:cs="宋体"/>
          <w:b/>
          <w:color w:val="000000"/>
          <w:sz w:val="24"/>
          <w:szCs w:val="24"/>
        </w:rPr>
      </w:pPr>
      <w:r>
        <w:rPr>
          <w:rFonts w:hint="eastAsia" w:ascii="宋体" w:hAnsi="宋体" w:cs="宋体"/>
          <w:b/>
          <w:color w:val="000000"/>
          <w:sz w:val="24"/>
          <w:szCs w:val="24"/>
        </w:rPr>
        <w:t>二、投标报价明细表</w:t>
      </w:r>
    </w:p>
    <w:p>
      <w:pPr>
        <w:ind w:right="960"/>
        <w:jc w:val="center"/>
        <w:rPr>
          <w:rFonts w:hint="eastAsia" w:ascii="宋体" w:hAnsi="宋体" w:cs="宋体"/>
          <w:color w:val="000000"/>
          <w:sz w:val="15"/>
          <w:szCs w:val="15"/>
        </w:rPr>
      </w:pPr>
    </w:p>
    <w:tbl>
      <w:tblPr>
        <w:tblStyle w:val="42"/>
        <w:tblW w:w="84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634"/>
        <w:gridCol w:w="1682"/>
        <w:gridCol w:w="1682"/>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1809" w:type="dxa"/>
            <w:vAlign w:val="center"/>
          </w:tcPr>
          <w:p>
            <w:pPr>
              <w:adjustRightInd w:val="0"/>
              <w:snapToGrid w:val="0"/>
              <w:jc w:val="center"/>
              <w:rPr>
                <w:rFonts w:ascii="宋体" w:hAnsi="宋体"/>
                <w:sz w:val="24"/>
                <w:szCs w:val="24"/>
              </w:rPr>
            </w:pPr>
            <w:r>
              <w:rPr>
                <w:rFonts w:ascii="宋体" w:hAnsi="宋体"/>
                <w:sz w:val="24"/>
                <w:szCs w:val="24"/>
              </w:rPr>
              <w:t>岗位名称</w:t>
            </w:r>
          </w:p>
        </w:tc>
        <w:tc>
          <w:tcPr>
            <w:tcW w:w="1634" w:type="dxa"/>
            <w:vAlign w:val="center"/>
          </w:tcPr>
          <w:p>
            <w:pPr>
              <w:adjustRightInd w:val="0"/>
              <w:snapToGrid w:val="0"/>
              <w:jc w:val="center"/>
              <w:rPr>
                <w:rFonts w:ascii="宋体" w:hAnsi="宋体"/>
                <w:sz w:val="24"/>
                <w:szCs w:val="24"/>
              </w:rPr>
            </w:pPr>
            <w:r>
              <w:rPr>
                <w:rFonts w:ascii="宋体" w:hAnsi="宋体"/>
                <w:sz w:val="24"/>
                <w:szCs w:val="24"/>
              </w:rPr>
              <w:t>人员设置</w:t>
            </w:r>
          </w:p>
        </w:tc>
        <w:tc>
          <w:tcPr>
            <w:tcW w:w="1682" w:type="dxa"/>
            <w:vAlign w:val="center"/>
          </w:tcPr>
          <w:p>
            <w:pPr>
              <w:adjustRightInd w:val="0"/>
              <w:snapToGrid w:val="0"/>
              <w:jc w:val="center"/>
              <w:rPr>
                <w:rFonts w:ascii="宋体" w:hAnsi="宋体"/>
                <w:sz w:val="24"/>
                <w:szCs w:val="24"/>
              </w:rPr>
            </w:pPr>
            <w:r>
              <w:rPr>
                <w:rFonts w:ascii="宋体" w:hAnsi="宋体"/>
                <w:sz w:val="24"/>
                <w:szCs w:val="24"/>
              </w:rPr>
              <w:t>人员数及单价</w:t>
            </w:r>
          </w:p>
        </w:tc>
        <w:tc>
          <w:tcPr>
            <w:tcW w:w="1682" w:type="dxa"/>
            <w:vAlign w:val="center"/>
          </w:tcPr>
          <w:p>
            <w:pPr>
              <w:adjustRightInd w:val="0"/>
              <w:snapToGrid w:val="0"/>
              <w:jc w:val="center"/>
              <w:rPr>
                <w:rFonts w:ascii="宋体" w:hAnsi="宋体"/>
                <w:sz w:val="24"/>
                <w:szCs w:val="24"/>
              </w:rPr>
            </w:pPr>
            <w:r>
              <w:rPr>
                <w:rFonts w:ascii="宋体" w:hAnsi="宋体"/>
                <w:sz w:val="24"/>
                <w:szCs w:val="24"/>
              </w:rPr>
              <w:t>总价</w:t>
            </w:r>
          </w:p>
        </w:tc>
        <w:tc>
          <w:tcPr>
            <w:tcW w:w="1682" w:type="dxa"/>
            <w:vAlign w:val="center"/>
          </w:tcPr>
          <w:p>
            <w:pPr>
              <w:adjustRightInd w:val="0"/>
              <w:snapToGrid w:val="0"/>
              <w:jc w:val="center"/>
              <w:rPr>
                <w:rFonts w:ascii="宋体" w:hAnsi="宋体"/>
                <w:sz w:val="24"/>
                <w:szCs w:val="24"/>
              </w:rPr>
            </w:pPr>
            <w:r>
              <w:rPr>
                <w:rFonts w:ascii="宋体"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809" w:type="dxa"/>
            <w:vAlign w:val="center"/>
          </w:tcPr>
          <w:p>
            <w:pPr>
              <w:adjustRightInd w:val="0"/>
              <w:snapToGrid w:val="0"/>
              <w:jc w:val="center"/>
              <w:rPr>
                <w:rFonts w:ascii="宋体" w:hAnsi="宋体"/>
                <w:sz w:val="24"/>
                <w:szCs w:val="24"/>
              </w:rPr>
            </w:pPr>
            <w:r>
              <w:rPr>
                <w:rFonts w:hint="eastAsia" w:ascii="宋体" w:hAnsi="宋体"/>
                <w:sz w:val="24"/>
                <w:szCs w:val="24"/>
              </w:rPr>
              <w:t>管理</w:t>
            </w:r>
            <w:r>
              <w:rPr>
                <w:rFonts w:ascii="宋体" w:hAnsi="宋体"/>
                <w:sz w:val="24"/>
                <w:szCs w:val="24"/>
              </w:rPr>
              <w:t>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项目经理</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809" w:type="dxa"/>
            <w:vMerge w:val="restart"/>
            <w:vAlign w:val="center"/>
          </w:tcPr>
          <w:p>
            <w:pPr>
              <w:adjustRightInd w:val="0"/>
              <w:snapToGrid w:val="0"/>
              <w:jc w:val="center"/>
              <w:rPr>
                <w:rFonts w:ascii="宋体" w:hAnsi="宋体"/>
                <w:sz w:val="24"/>
                <w:szCs w:val="24"/>
              </w:rPr>
            </w:pPr>
            <w:r>
              <w:rPr>
                <w:rFonts w:ascii="宋体" w:hAnsi="宋体"/>
                <w:sz w:val="24"/>
                <w:szCs w:val="24"/>
              </w:rPr>
              <w:t>消防岗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消防监控室</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809" w:type="dxa"/>
            <w:vMerge w:val="continue"/>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r>
              <w:rPr>
                <w:rFonts w:ascii="宋体" w:hAnsi="宋体"/>
                <w:sz w:val="24"/>
                <w:szCs w:val="24"/>
              </w:rPr>
              <w:t>微型消防站</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1809" w:type="dxa"/>
            <w:vMerge w:val="restart"/>
            <w:vAlign w:val="center"/>
          </w:tcPr>
          <w:p>
            <w:pPr>
              <w:adjustRightInd w:val="0"/>
              <w:snapToGrid w:val="0"/>
              <w:jc w:val="center"/>
              <w:rPr>
                <w:rFonts w:ascii="宋体" w:hAnsi="宋体"/>
                <w:sz w:val="24"/>
                <w:szCs w:val="24"/>
              </w:rPr>
            </w:pPr>
            <w:r>
              <w:rPr>
                <w:rFonts w:ascii="宋体" w:hAnsi="宋体"/>
                <w:sz w:val="24"/>
                <w:szCs w:val="24"/>
              </w:rPr>
              <w:t>安保岗</w:t>
            </w:r>
          </w:p>
        </w:tc>
        <w:tc>
          <w:tcPr>
            <w:tcW w:w="1634" w:type="dxa"/>
            <w:vAlign w:val="center"/>
          </w:tcPr>
          <w:p>
            <w:pPr>
              <w:adjustRightInd w:val="0"/>
              <w:snapToGrid w:val="0"/>
              <w:jc w:val="center"/>
              <w:rPr>
                <w:rFonts w:ascii="宋体" w:hAnsi="宋体"/>
                <w:sz w:val="24"/>
                <w:szCs w:val="24"/>
              </w:rPr>
            </w:pPr>
            <w:r>
              <w:rPr>
                <w:rFonts w:ascii="宋体" w:hAnsi="宋体"/>
                <w:sz w:val="24"/>
                <w:szCs w:val="24"/>
              </w:rPr>
              <w:t>固定岗</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5" w:hRule="atLeast"/>
        </w:trPr>
        <w:tc>
          <w:tcPr>
            <w:tcW w:w="1809" w:type="dxa"/>
            <w:vMerge w:val="continue"/>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r>
              <w:rPr>
                <w:rFonts w:ascii="宋体" w:hAnsi="宋体"/>
                <w:sz w:val="24"/>
                <w:szCs w:val="24"/>
              </w:rPr>
              <w:t>巡逻岗</w:t>
            </w: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1809" w:type="dxa"/>
            <w:vAlign w:val="center"/>
          </w:tcPr>
          <w:p>
            <w:pPr>
              <w:adjustRightInd w:val="0"/>
              <w:snapToGrid w:val="0"/>
              <w:jc w:val="center"/>
              <w:rPr>
                <w:rFonts w:ascii="宋体" w:hAnsi="宋体"/>
                <w:sz w:val="24"/>
                <w:szCs w:val="24"/>
              </w:rPr>
            </w:pPr>
          </w:p>
        </w:tc>
        <w:tc>
          <w:tcPr>
            <w:tcW w:w="1634"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c>
          <w:tcPr>
            <w:tcW w:w="1682" w:type="dxa"/>
            <w:vAlign w:val="center"/>
          </w:tcPr>
          <w:p>
            <w:pPr>
              <w:adjustRightInd w:val="0"/>
              <w:snapToGrid w:val="0"/>
              <w:jc w:val="center"/>
              <w:rPr>
                <w:rFonts w:ascii="宋体" w:hAnsi="宋体"/>
                <w:sz w:val="24"/>
                <w:szCs w:val="24"/>
              </w:rPr>
            </w:pPr>
          </w:p>
        </w:tc>
      </w:tr>
    </w:tbl>
    <w:p>
      <w:pPr>
        <w:ind w:right="960"/>
        <w:jc w:val="center"/>
        <w:rPr>
          <w:rFonts w:ascii="宋体" w:hAnsi="宋体"/>
          <w:sz w:val="24"/>
          <w:szCs w:val="24"/>
        </w:rPr>
      </w:pPr>
    </w:p>
    <w:p>
      <w:pPr>
        <w:ind w:firstLine="2653" w:firstLineChars="1101"/>
        <w:rPr>
          <w:rFonts w:ascii="宋体" w:hAnsi="宋体"/>
          <w:b/>
          <w:sz w:val="24"/>
          <w:szCs w:val="24"/>
        </w:rPr>
      </w:pPr>
      <w:bookmarkStart w:id="27" w:name="_Hlk450185103"/>
    </w:p>
    <w:bookmarkEnd w:id="27"/>
    <w:p>
      <w:pPr>
        <w:pStyle w:val="3"/>
        <w:keepLines/>
        <w:spacing w:line="416" w:lineRule="auto"/>
        <w:rPr>
          <w:rStyle w:val="204"/>
          <w:rFonts w:ascii="新宋体" w:hAnsi="新宋体" w:eastAsia="新宋体" w:cs="新宋体"/>
          <w:b/>
          <w:sz w:val="24"/>
          <w:szCs w:val="24"/>
        </w:rPr>
      </w:pPr>
      <w:bookmarkStart w:id="28" w:name="_Toc529432933"/>
      <w:bookmarkStart w:id="29" w:name="_Toc26671"/>
      <w:bookmarkStart w:id="30" w:name="_Toc416948851"/>
      <w:bookmarkStart w:id="31" w:name="_Toc529432841"/>
      <w:r>
        <w:rPr>
          <w:rStyle w:val="204"/>
          <w:rFonts w:hint="eastAsia" w:ascii="新宋体" w:hAnsi="新宋体" w:eastAsia="新宋体" w:cs="新宋体"/>
          <w:b/>
          <w:sz w:val="24"/>
          <w:szCs w:val="24"/>
        </w:rPr>
        <w:t>三、投标人基本情况表</w:t>
      </w:r>
      <w:bookmarkEnd w:id="28"/>
      <w:bookmarkEnd w:id="29"/>
      <w:bookmarkEnd w:id="30"/>
      <w:bookmarkEnd w:id="31"/>
    </w:p>
    <w:p>
      <w:pPr>
        <w:pStyle w:val="3"/>
        <w:spacing w:before="100" w:beforeAutospacing="1" w:after="100" w:afterAutospacing="1" w:line="180" w:lineRule="exact"/>
        <w:ind w:firstLine="2653" w:firstLineChars="1101"/>
        <w:jc w:val="both"/>
        <w:rPr>
          <w:rFonts w:ascii="新宋体" w:hAnsi="新宋体" w:eastAsia="新宋体" w:cs="新宋体"/>
          <w:sz w:val="24"/>
          <w:szCs w:val="24"/>
        </w:rPr>
      </w:pPr>
    </w:p>
    <w:tbl>
      <w:tblPr>
        <w:tblStyle w:val="41"/>
        <w:tblW w:w="8800"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91"/>
        <w:gridCol w:w="878"/>
        <w:gridCol w:w="1073"/>
        <w:gridCol w:w="1446"/>
        <w:gridCol w:w="523"/>
        <w:gridCol w:w="341"/>
        <w:gridCol w:w="1419"/>
        <w:gridCol w:w="17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28" w:hRule="exact"/>
          <w:jc w:val="center"/>
        </w:trPr>
        <w:tc>
          <w:tcPr>
            <w:tcW w:w="8800" w:type="dxa"/>
            <w:gridSpan w:val="9"/>
            <w:tcBorders>
              <w:top w:val="single" w:color="auto" w:sz="12"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企业情况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6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单位名称</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1108"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地   址</w:t>
            </w:r>
          </w:p>
        </w:tc>
        <w:tc>
          <w:tcPr>
            <w:tcW w:w="3920" w:type="dxa"/>
            <w:gridSpan w:val="4"/>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7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法人代表</w:t>
            </w:r>
          </w:p>
        </w:tc>
        <w:tc>
          <w:tcPr>
            <w:tcW w:w="1760"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1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成立时间</w:t>
            </w:r>
          </w:p>
        </w:tc>
        <w:tc>
          <w:tcPr>
            <w:tcW w:w="3920" w:type="dxa"/>
            <w:gridSpan w:val="4"/>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7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注册资金</w:t>
            </w:r>
          </w:p>
        </w:tc>
        <w:tc>
          <w:tcPr>
            <w:tcW w:w="1760"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80"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经营范围</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2" w:hRule="exact"/>
          <w:jc w:val="center"/>
        </w:trPr>
        <w:tc>
          <w:tcPr>
            <w:tcW w:w="1360"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员工人数</w:t>
            </w:r>
          </w:p>
        </w:tc>
        <w:tc>
          <w:tcPr>
            <w:tcW w:w="7440" w:type="dxa"/>
            <w:gridSpan w:val="7"/>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63" w:hRule="exact"/>
          <w:jc w:val="center"/>
        </w:trPr>
        <w:tc>
          <w:tcPr>
            <w:tcW w:w="8800" w:type="dxa"/>
            <w:gridSpan w:val="9"/>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类似服务业绩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1530"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名   称</w:t>
            </w: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服务</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时间</w:t>
            </w: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项目</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内容</w:t>
            </w:r>
          </w:p>
        </w:tc>
        <w:tc>
          <w:tcPr>
            <w:tcW w:w="1446" w:type="dxa"/>
            <w:tcBorders>
              <w:top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合同</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金额</w:t>
            </w: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其他</w:t>
            </w:r>
          </w:p>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情况</w:t>
            </w: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r>
              <w:rPr>
                <w:rFonts w:hint="eastAsia" w:ascii="新宋体" w:hAnsi="新宋体" w:eastAsia="新宋体" w:cs="新宋体"/>
                <w:sz w:val="24"/>
                <w:szCs w:val="24"/>
              </w:rPr>
              <w:t>联系人及联系电话（固话和手机）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57"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49" w:hRule="exact"/>
          <w:jc w:val="center"/>
        </w:trPr>
        <w:tc>
          <w:tcPr>
            <w:tcW w:w="1269"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1446" w:type="dxa"/>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4" w:space="0"/>
            </w:tcBorders>
            <w:vAlign w:val="center"/>
          </w:tcPr>
          <w:p>
            <w:pPr>
              <w:spacing w:line="360" w:lineRule="auto"/>
              <w:jc w:val="center"/>
              <w:rPr>
                <w:rFonts w:ascii="新宋体" w:hAnsi="新宋体" w:eastAsia="新宋体" w:cs="新宋体"/>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02" w:hRule="exact"/>
          <w:jc w:val="center"/>
        </w:trPr>
        <w:tc>
          <w:tcPr>
            <w:tcW w:w="1269" w:type="dxa"/>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969"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1073" w:type="dxa"/>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1446" w:type="dxa"/>
            <w:tcBorders>
              <w:bottom w:val="single" w:color="auto" w:sz="12" w:space="0"/>
            </w:tcBorders>
            <w:vAlign w:val="center"/>
          </w:tcPr>
          <w:p>
            <w:pPr>
              <w:spacing w:line="360" w:lineRule="auto"/>
              <w:jc w:val="center"/>
              <w:rPr>
                <w:rFonts w:ascii="新宋体" w:hAnsi="新宋体" w:eastAsia="新宋体" w:cs="新宋体"/>
                <w:sz w:val="24"/>
                <w:szCs w:val="24"/>
              </w:rPr>
            </w:pPr>
          </w:p>
        </w:tc>
        <w:tc>
          <w:tcPr>
            <w:tcW w:w="864"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c>
          <w:tcPr>
            <w:tcW w:w="3179" w:type="dxa"/>
            <w:gridSpan w:val="2"/>
            <w:tcBorders>
              <w:top w:val="single" w:color="auto" w:sz="4" w:space="0"/>
              <w:bottom w:val="single" w:color="auto" w:sz="12" w:space="0"/>
            </w:tcBorders>
            <w:vAlign w:val="center"/>
          </w:tcPr>
          <w:p>
            <w:pPr>
              <w:spacing w:line="360" w:lineRule="auto"/>
              <w:jc w:val="center"/>
              <w:rPr>
                <w:rFonts w:ascii="新宋体" w:hAnsi="新宋体" w:eastAsia="新宋体" w:cs="新宋体"/>
                <w:sz w:val="24"/>
                <w:szCs w:val="24"/>
              </w:rPr>
            </w:pPr>
          </w:p>
        </w:tc>
      </w:tr>
    </w:tbl>
    <w:p>
      <w:pPr>
        <w:rPr>
          <w:rFonts w:ascii="新宋体" w:hAnsi="新宋体" w:eastAsia="新宋体" w:cs="新宋体"/>
          <w:sz w:val="24"/>
          <w:szCs w:val="24"/>
        </w:rPr>
      </w:pPr>
    </w:p>
    <w:p>
      <w:pPr>
        <w:rPr>
          <w:rFonts w:ascii="新宋体" w:hAnsi="新宋体" w:eastAsia="新宋体" w:cs="新宋体"/>
          <w:sz w:val="24"/>
          <w:szCs w:val="24"/>
        </w:rPr>
      </w:pPr>
    </w:p>
    <w:p>
      <w:pPr>
        <w:pStyle w:val="3"/>
        <w:keepLines/>
        <w:spacing w:line="416" w:lineRule="auto"/>
        <w:rPr>
          <w:rStyle w:val="204"/>
          <w:rFonts w:ascii="新宋体" w:hAnsi="新宋体" w:eastAsia="新宋体"/>
          <w:b/>
          <w:sz w:val="24"/>
          <w:szCs w:val="24"/>
        </w:rPr>
      </w:pPr>
      <w:bookmarkStart w:id="32" w:name="_Toc529432934"/>
      <w:bookmarkStart w:id="33" w:name="_Toc10747"/>
      <w:bookmarkStart w:id="34" w:name="_Toc529432842"/>
      <w:bookmarkStart w:id="35" w:name="_Toc416948852"/>
      <w:r>
        <w:rPr>
          <w:rStyle w:val="204"/>
          <w:rFonts w:hint="eastAsia" w:ascii="新宋体" w:hAnsi="新宋体" w:eastAsia="新宋体"/>
          <w:b/>
          <w:sz w:val="24"/>
          <w:szCs w:val="24"/>
        </w:rPr>
        <w:t>四、服务方案及承诺</w:t>
      </w:r>
      <w:bookmarkEnd w:id="32"/>
      <w:bookmarkEnd w:id="33"/>
      <w:bookmarkEnd w:id="34"/>
      <w:bookmarkEnd w:id="35"/>
    </w:p>
    <w:p>
      <w:pPr>
        <w:rPr>
          <w:rFonts w:ascii="新宋体" w:hAnsi="新宋体" w:eastAsia="新宋体" w:cs="新宋体"/>
          <w:sz w:val="24"/>
          <w:szCs w:val="24"/>
        </w:rPr>
      </w:pPr>
      <w:r>
        <w:rPr>
          <w:rFonts w:hint="eastAsia" w:ascii="新宋体" w:hAnsi="新宋体" w:eastAsia="新宋体" w:cs="新宋体"/>
          <w:sz w:val="24"/>
          <w:szCs w:val="24"/>
        </w:rPr>
        <w:t>a)</w:t>
      </w:r>
      <w:r>
        <w:rPr>
          <w:rFonts w:hint="eastAsia" w:ascii="新宋体" w:hAnsi="新宋体" w:eastAsia="新宋体" w:cs="新宋体"/>
          <w:sz w:val="24"/>
          <w:szCs w:val="24"/>
        </w:rPr>
        <w:tab/>
      </w:r>
      <w:r>
        <w:rPr>
          <w:rFonts w:hint="eastAsia" w:ascii="新宋体" w:hAnsi="新宋体" w:eastAsia="新宋体" w:cs="新宋体"/>
          <w:sz w:val="24"/>
          <w:szCs w:val="24"/>
        </w:rPr>
        <w:t>管理服务的整体设想、策划及组织落实方案</w:t>
      </w:r>
    </w:p>
    <w:p>
      <w:pPr>
        <w:rPr>
          <w:rFonts w:ascii="新宋体" w:hAnsi="新宋体" w:eastAsia="新宋体" w:cs="新宋体"/>
          <w:sz w:val="24"/>
          <w:szCs w:val="24"/>
        </w:rPr>
      </w:pPr>
      <w:r>
        <w:rPr>
          <w:rFonts w:hint="eastAsia" w:ascii="新宋体" w:hAnsi="新宋体" w:eastAsia="新宋体" w:cs="新宋体"/>
          <w:sz w:val="24"/>
          <w:szCs w:val="24"/>
        </w:rPr>
        <w:t>b)</w:t>
      </w:r>
      <w:r>
        <w:rPr>
          <w:rFonts w:hint="eastAsia" w:ascii="新宋体" w:hAnsi="新宋体" w:eastAsia="新宋体" w:cs="新宋体"/>
          <w:sz w:val="24"/>
          <w:szCs w:val="24"/>
        </w:rPr>
        <w:tab/>
      </w:r>
      <w:r>
        <w:rPr>
          <w:rFonts w:hint="eastAsia" w:ascii="新宋体" w:hAnsi="新宋体" w:eastAsia="新宋体" w:cs="新宋体"/>
          <w:sz w:val="24"/>
          <w:szCs w:val="24"/>
        </w:rPr>
        <w:t>项目管理机构设置及运行</w:t>
      </w:r>
    </w:p>
    <w:p>
      <w:pPr>
        <w:rPr>
          <w:rFonts w:ascii="新宋体" w:hAnsi="新宋体" w:eastAsia="新宋体" w:cs="新宋体"/>
          <w:sz w:val="24"/>
          <w:szCs w:val="24"/>
        </w:rPr>
      </w:pPr>
      <w:r>
        <w:rPr>
          <w:rFonts w:hint="eastAsia" w:ascii="新宋体" w:hAnsi="新宋体" w:eastAsia="新宋体" w:cs="新宋体"/>
          <w:sz w:val="24"/>
          <w:szCs w:val="24"/>
        </w:rPr>
        <w:t>c)</w:t>
      </w:r>
      <w:r>
        <w:rPr>
          <w:rFonts w:hint="eastAsia" w:ascii="新宋体" w:hAnsi="新宋体" w:eastAsia="新宋体" w:cs="新宋体"/>
          <w:sz w:val="24"/>
          <w:szCs w:val="24"/>
        </w:rPr>
        <w:tab/>
      </w:r>
      <w:r>
        <w:rPr>
          <w:rFonts w:hint="eastAsia" w:ascii="新宋体" w:hAnsi="新宋体" w:eastAsia="新宋体" w:cs="新宋体"/>
          <w:sz w:val="24"/>
          <w:szCs w:val="24"/>
        </w:rPr>
        <w:t>各项指标的承诺及完成承诺指标采取的措施</w:t>
      </w:r>
    </w:p>
    <w:p>
      <w:pPr>
        <w:rPr>
          <w:rFonts w:ascii="新宋体" w:hAnsi="新宋体" w:eastAsia="新宋体" w:cs="新宋体"/>
          <w:sz w:val="24"/>
          <w:szCs w:val="24"/>
        </w:rPr>
      </w:pPr>
      <w:r>
        <w:rPr>
          <w:rFonts w:hint="eastAsia" w:ascii="新宋体" w:hAnsi="新宋体" w:eastAsia="新宋体" w:cs="新宋体"/>
          <w:sz w:val="24"/>
          <w:szCs w:val="24"/>
        </w:rPr>
        <w:t>d)</w:t>
      </w:r>
      <w:r>
        <w:rPr>
          <w:rFonts w:hint="eastAsia" w:ascii="新宋体" w:hAnsi="新宋体" w:eastAsia="新宋体" w:cs="新宋体"/>
          <w:sz w:val="24"/>
          <w:szCs w:val="24"/>
        </w:rPr>
        <w:tab/>
      </w:r>
      <w:r>
        <w:rPr>
          <w:rFonts w:hint="eastAsia" w:ascii="新宋体" w:hAnsi="新宋体" w:eastAsia="新宋体" w:cs="新宋体"/>
          <w:sz w:val="24"/>
          <w:szCs w:val="24"/>
        </w:rPr>
        <w:t>接管方案</w:t>
      </w:r>
    </w:p>
    <w:p>
      <w:pPr>
        <w:rPr>
          <w:rFonts w:ascii="新宋体" w:hAnsi="新宋体" w:eastAsia="新宋体" w:cs="新宋体"/>
          <w:sz w:val="24"/>
          <w:szCs w:val="24"/>
        </w:rPr>
      </w:pPr>
      <w:r>
        <w:rPr>
          <w:rFonts w:hint="eastAsia" w:ascii="新宋体" w:hAnsi="新宋体" w:eastAsia="新宋体" w:cs="新宋体"/>
          <w:sz w:val="24"/>
          <w:szCs w:val="24"/>
        </w:rPr>
        <w:t>e)</w:t>
      </w:r>
      <w:r>
        <w:rPr>
          <w:rFonts w:hint="eastAsia" w:ascii="新宋体" w:hAnsi="新宋体" w:eastAsia="新宋体" w:cs="新宋体"/>
          <w:sz w:val="24"/>
          <w:szCs w:val="24"/>
        </w:rPr>
        <w:tab/>
      </w:r>
      <w:r>
        <w:rPr>
          <w:rFonts w:hint="eastAsia" w:ascii="新宋体" w:hAnsi="新宋体" w:eastAsia="新宋体" w:cs="新宋体"/>
          <w:sz w:val="24"/>
          <w:szCs w:val="24"/>
        </w:rPr>
        <w:t>实施方案</w:t>
      </w:r>
    </w:p>
    <w:p>
      <w:pPr>
        <w:rPr>
          <w:rFonts w:ascii="新宋体" w:hAnsi="新宋体" w:eastAsia="新宋体" w:cs="新宋体"/>
          <w:sz w:val="24"/>
          <w:szCs w:val="24"/>
        </w:rPr>
      </w:pPr>
      <w:r>
        <w:rPr>
          <w:rFonts w:hint="eastAsia" w:ascii="新宋体" w:hAnsi="新宋体" w:eastAsia="新宋体" w:cs="新宋体"/>
          <w:sz w:val="24"/>
          <w:szCs w:val="24"/>
        </w:rPr>
        <w:t>f)应急处理方案等</w:t>
      </w:r>
    </w:p>
    <w:p>
      <w:pPr>
        <w:spacing w:line="540" w:lineRule="exact"/>
        <w:jc w:val="left"/>
        <w:rPr>
          <w:rFonts w:ascii="新宋体" w:hAnsi="新宋体" w:eastAsia="新宋体" w:cs="新宋体"/>
          <w:sz w:val="24"/>
          <w:szCs w:val="24"/>
        </w:rPr>
      </w:pPr>
      <w:r>
        <w:rPr>
          <w:rFonts w:hint="eastAsia" w:ascii="新宋体" w:hAnsi="新宋体" w:eastAsia="新宋体" w:cs="新宋体"/>
          <w:sz w:val="24"/>
          <w:szCs w:val="24"/>
        </w:rPr>
        <w:t>g）投标人认为需要提供的其他材料。</w:t>
      </w:r>
    </w:p>
    <w:p>
      <w:pPr>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rPr>
          <w:rFonts w:ascii="新宋体" w:hAnsi="新宋体" w:eastAsia="新宋体" w:cs="新宋体"/>
          <w:sz w:val="24"/>
          <w:szCs w:val="24"/>
        </w:rPr>
      </w:pPr>
      <w:r>
        <w:rPr>
          <w:rFonts w:hint="eastAsia" w:ascii="新宋体" w:hAnsi="新宋体" w:eastAsia="新宋体" w:cs="新宋体"/>
          <w:sz w:val="24"/>
          <w:szCs w:val="24"/>
        </w:rPr>
        <w:t>说明：</w:t>
      </w:r>
    </w:p>
    <w:p>
      <w:pPr>
        <w:rPr>
          <w:rFonts w:ascii="新宋体" w:hAnsi="新宋体" w:eastAsia="新宋体" w:cs="新宋体"/>
          <w:sz w:val="24"/>
          <w:szCs w:val="24"/>
        </w:rPr>
      </w:pPr>
      <w:r>
        <w:rPr>
          <w:rFonts w:hint="eastAsia" w:ascii="新宋体" w:hAnsi="新宋体" w:eastAsia="新宋体" w:cs="新宋体"/>
          <w:sz w:val="24"/>
          <w:szCs w:val="24"/>
        </w:rPr>
        <w:t>上述内容仅供投标人参考，投标人可根据该项目的特点结合自身实际进行管理服务方案及承诺的描述。</w:t>
      </w:r>
    </w:p>
    <w:p>
      <w:pPr>
        <w:spacing w:line="540" w:lineRule="exact"/>
        <w:ind w:firstLine="480" w:firstLineChars="200"/>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spacing w:line="540" w:lineRule="exact"/>
        <w:ind w:firstLine="480" w:firstLineChars="200"/>
        <w:rPr>
          <w:rFonts w:ascii="新宋体" w:hAnsi="新宋体" w:eastAsia="新宋体" w:cs="新宋体"/>
          <w:sz w:val="24"/>
          <w:szCs w:val="24"/>
        </w:rPr>
      </w:pPr>
    </w:p>
    <w:p>
      <w:pPr>
        <w:rPr>
          <w:rFonts w:ascii="新宋体" w:hAnsi="新宋体" w:eastAsia="新宋体" w:cs="新宋体"/>
        </w:rPr>
      </w:pPr>
      <w:bookmarkStart w:id="36" w:name="_Toc416948853"/>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rPr>
          <w:rFonts w:ascii="新宋体" w:hAnsi="新宋体" w:eastAsia="新宋体" w:cs="新宋体"/>
        </w:rPr>
      </w:pPr>
    </w:p>
    <w:p>
      <w:pPr>
        <w:pStyle w:val="5"/>
        <w:rPr>
          <w:rStyle w:val="204"/>
          <w:rFonts w:ascii="新宋体" w:hAnsi="新宋体" w:eastAsia="新宋体"/>
          <w:b/>
          <w:sz w:val="24"/>
          <w:szCs w:val="24"/>
        </w:rPr>
      </w:pPr>
      <w:bookmarkStart w:id="37" w:name="_Toc529432843"/>
      <w:bookmarkStart w:id="38" w:name="_Toc529432935"/>
    </w:p>
    <w:p>
      <w:pPr>
        <w:pStyle w:val="3"/>
        <w:keepLines/>
        <w:spacing w:line="416" w:lineRule="auto"/>
        <w:rPr>
          <w:rStyle w:val="204"/>
          <w:rFonts w:ascii="新宋体" w:hAnsi="新宋体" w:eastAsia="新宋体"/>
          <w:b/>
          <w:sz w:val="24"/>
          <w:szCs w:val="24"/>
        </w:rPr>
      </w:pPr>
      <w:bookmarkStart w:id="39" w:name="_Toc13092"/>
      <w:r>
        <w:rPr>
          <w:rStyle w:val="204"/>
          <w:rFonts w:hint="eastAsia" w:ascii="新宋体" w:hAnsi="新宋体" w:eastAsia="新宋体"/>
          <w:b/>
          <w:sz w:val="24"/>
          <w:szCs w:val="24"/>
        </w:rPr>
        <w:t>五、资格证明文件</w:t>
      </w:r>
      <w:bookmarkEnd w:id="36"/>
      <w:bookmarkEnd w:id="37"/>
      <w:bookmarkEnd w:id="38"/>
      <w:bookmarkEnd w:id="39"/>
    </w:p>
    <w:p>
      <w:pPr>
        <w:pStyle w:val="4"/>
        <w:ind w:firstLine="0"/>
        <w:rPr>
          <w:rFonts w:ascii="新宋体" w:hAnsi="新宋体" w:eastAsia="新宋体" w:cs="新宋体"/>
          <w:sz w:val="24"/>
          <w:szCs w:val="24"/>
        </w:rPr>
      </w:pPr>
    </w:p>
    <w:p>
      <w:pPr>
        <w:ind w:firstLine="480" w:firstLineChars="200"/>
        <w:jc w:val="left"/>
        <w:rPr>
          <w:rFonts w:ascii="新宋体" w:hAnsi="新宋体" w:eastAsia="新宋体" w:cs="新宋体"/>
          <w:b/>
          <w:sz w:val="24"/>
          <w:szCs w:val="24"/>
        </w:rPr>
      </w:pPr>
      <w:r>
        <w:rPr>
          <w:rFonts w:hint="eastAsia" w:ascii="新宋体" w:hAnsi="新宋体" w:eastAsia="新宋体" w:cs="新宋体"/>
          <w:sz w:val="24"/>
          <w:szCs w:val="24"/>
        </w:rPr>
        <w:t>须提供相关资格证书的复印件（加盖单位公章）。如：营业执照、资质证书、人员证书、相关资信证明、相关荣誉证书、类似业绩合同等。</w:t>
      </w: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新宋体" w:hAnsi="新宋体" w:eastAsia="新宋体" w:cs="新宋体"/>
          <w:b/>
          <w:sz w:val="24"/>
          <w:szCs w:val="24"/>
        </w:rPr>
      </w:pPr>
    </w:p>
    <w:p>
      <w:pPr>
        <w:rPr>
          <w:rFonts w:ascii="宋体" w:hAnsi="宋体"/>
          <w:b/>
          <w:sz w:val="24"/>
          <w:szCs w:val="24"/>
        </w:rPr>
      </w:pPr>
      <w:r>
        <w:rPr>
          <w:rFonts w:hint="eastAsia" w:ascii="宋体" w:hAnsi="宋体"/>
          <w:b/>
          <w:sz w:val="24"/>
          <w:szCs w:val="24"/>
        </w:rPr>
        <w:t>附表（格式）：</w:t>
      </w:r>
    </w:p>
    <w:p>
      <w:pPr>
        <w:ind w:firstLine="843" w:firstLineChars="350"/>
        <w:jc w:val="center"/>
        <w:rPr>
          <w:rFonts w:ascii="宋体" w:hAnsi="宋体"/>
          <w:b/>
          <w:sz w:val="24"/>
          <w:szCs w:val="24"/>
        </w:rPr>
      </w:pPr>
      <w:r>
        <w:rPr>
          <w:rFonts w:hint="eastAsia" w:ascii="宋体" w:hAnsi="宋体"/>
          <w:b/>
          <w:sz w:val="24"/>
          <w:szCs w:val="24"/>
        </w:rPr>
        <w:t>法定代表人授权书</w:t>
      </w:r>
    </w:p>
    <w:p>
      <w:pPr>
        <w:rPr>
          <w:rFonts w:ascii="宋体" w:hAnsi="宋体"/>
          <w:b/>
          <w:sz w:val="24"/>
          <w:szCs w:val="24"/>
        </w:rPr>
      </w:pPr>
      <w:r>
        <w:rPr>
          <w:rFonts w:hint="eastAsia" w:ascii="宋体" w:hAnsi="宋体"/>
          <w:b/>
          <w:sz w:val="24"/>
          <w:szCs w:val="24"/>
        </w:rPr>
        <w:t>致：六安市六安世立医院</w:t>
      </w:r>
    </w:p>
    <w:p>
      <w:pPr>
        <w:widowControl/>
        <w:shd w:val="clear" w:color="auto" w:fill="FFFFFF"/>
        <w:spacing w:line="560" w:lineRule="exact"/>
        <w:ind w:firstLine="720" w:firstLineChars="300"/>
        <w:jc w:val="left"/>
        <w:rPr>
          <w:rFonts w:ascii="宋体" w:hAnsi="宋体" w:cs="宋体"/>
          <w:color w:val="000000"/>
          <w:kern w:val="0"/>
          <w:sz w:val="24"/>
          <w:szCs w:val="24"/>
        </w:rPr>
      </w:pPr>
      <w:r>
        <w:rPr>
          <w:rFonts w:hint="eastAsia" w:ascii="宋体" w:hAnsi="宋体"/>
          <w:sz w:val="24"/>
          <w:szCs w:val="24"/>
        </w:rPr>
        <w:t>本授权书声明：（投标人名称）的（法人代表姓名、职务）授权（被授权人的姓名、职务）为我方就</w:t>
      </w:r>
      <w:r>
        <w:rPr>
          <w:rFonts w:hint="eastAsia" w:ascii="宋体" w:hAnsi="宋体" w:cs="宋体"/>
          <w:color w:val="000000"/>
          <w:kern w:val="0"/>
          <w:sz w:val="24"/>
          <w:szCs w:val="24"/>
        </w:rPr>
        <w:t>LASLYY-201905</w:t>
      </w:r>
      <w:r>
        <w:rPr>
          <w:rFonts w:hint="eastAsia" w:ascii="宋体" w:hAnsi="宋体"/>
          <w:sz w:val="24"/>
          <w:szCs w:val="24"/>
        </w:rPr>
        <w:t>项目投标活动的合法代理人，以我方名义全权处理与该项目投标、签订合同以及合同执行有关的一切事务。</w:t>
      </w:r>
    </w:p>
    <w:p>
      <w:pPr>
        <w:spacing w:line="240" w:lineRule="atLeast"/>
        <w:ind w:firstLine="645"/>
        <w:rPr>
          <w:rFonts w:ascii="宋体" w:hAnsi="宋体"/>
          <w:sz w:val="24"/>
          <w:szCs w:val="24"/>
        </w:rPr>
      </w:pPr>
      <w:r>
        <w:rPr>
          <w:rFonts w:hint="eastAsia" w:ascii="宋体" w:hAnsi="宋体"/>
          <w:sz w:val="24"/>
          <w:szCs w:val="24"/>
        </w:rPr>
        <w:t>特此声明。</w:t>
      </w:r>
    </w:p>
    <w:p>
      <w:pPr>
        <w:spacing w:line="240" w:lineRule="atLeast"/>
        <w:rPr>
          <w:rFonts w:ascii="宋体" w:hAnsi="宋体"/>
          <w:sz w:val="24"/>
          <w:szCs w:val="24"/>
        </w:rPr>
      </w:pPr>
    </w:p>
    <w:p>
      <w:pPr>
        <w:spacing w:line="240" w:lineRule="atLeast"/>
        <w:rPr>
          <w:rFonts w:ascii="宋体" w:hAnsi="宋体"/>
          <w:sz w:val="24"/>
          <w:szCs w:val="24"/>
          <w:u w:val="single"/>
        </w:rPr>
      </w:pPr>
      <w:r>
        <w:rPr>
          <w:rFonts w:hint="eastAsia" w:ascii="宋体" w:hAnsi="宋体"/>
          <w:sz w:val="24"/>
          <w:szCs w:val="24"/>
        </w:rPr>
        <w:t>法定代表人签字：</w:t>
      </w:r>
    </w:p>
    <w:p>
      <w:pPr>
        <w:spacing w:line="240" w:lineRule="atLeast"/>
        <w:rPr>
          <w:rFonts w:ascii="宋体" w:hAnsi="宋体"/>
          <w:sz w:val="24"/>
          <w:szCs w:val="24"/>
          <w:u w:val="single"/>
        </w:rPr>
      </w:pPr>
      <w:r>
        <w:rPr>
          <w:rFonts w:hint="eastAsia" w:ascii="宋体" w:hAnsi="宋体"/>
          <w:sz w:val="24"/>
          <w:szCs w:val="24"/>
        </w:rPr>
        <w:t xml:space="preserve">          职    务：</w:t>
      </w:r>
    </w:p>
    <w:p>
      <w:pPr>
        <w:spacing w:line="240" w:lineRule="atLeast"/>
        <w:rPr>
          <w:rFonts w:ascii="宋体" w:hAnsi="宋体"/>
          <w:sz w:val="24"/>
          <w:szCs w:val="24"/>
          <w:u w:val="single"/>
        </w:rPr>
      </w:pPr>
      <w:r>
        <w:rPr>
          <w:rFonts w:hint="eastAsia" w:ascii="宋体" w:hAnsi="宋体"/>
          <w:sz w:val="24"/>
          <w:szCs w:val="24"/>
        </w:rPr>
        <w:t xml:space="preserve">          单位名称：</w:t>
      </w:r>
    </w:p>
    <w:p>
      <w:pPr>
        <w:spacing w:line="240" w:lineRule="atLeast"/>
        <w:rPr>
          <w:rFonts w:ascii="宋体" w:hAnsi="宋体"/>
          <w:sz w:val="24"/>
          <w:szCs w:val="24"/>
        </w:rPr>
      </w:pPr>
      <w:r>
        <w:rPr>
          <w:rFonts w:hint="eastAsia" w:ascii="宋体" w:hAnsi="宋体"/>
          <w:sz w:val="24"/>
          <w:szCs w:val="24"/>
        </w:rPr>
        <w:t>代理人（被授权人）签字：</w:t>
      </w:r>
    </w:p>
    <w:p>
      <w:pPr>
        <w:spacing w:line="240" w:lineRule="atLeast"/>
        <w:rPr>
          <w:rFonts w:ascii="宋体" w:hAnsi="宋体"/>
          <w:sz w:val="24"/>
          <w:szCs w:val="24"/>
        </w:rPr>
      </w:pPr>
      <w:r>
        <w:rPr>
          <w:rFonts w:hint="eastAsia" w:ascii="宋体" w:hAnsi="宋体"/>
          <w:sz w:val="24"/>
          <w:szCs w:val="24"/>
        </w:rPr>
        <w:t xml:space="preserve">          职    务：</w:t>
      </w:r>
    </w:p>
    <w:p>
      <w:pPr>
        <w:spacing w:line="240" w:lineRule="atLeast"/>
        <w:rPr>
          <w:rFonts w:ascii="宋体" w:hAnsi="宋体"/>
          <w:sz w:val="24"/>
          <w:szCs w:val="24"/>
        </w:rPr>
      </w:pPr>
      <w:r>
        <w:rPr>
          <w:rFonts w:hint="eastAsia" w:ascii="宋体" w:hAnsi="宋体"/>
          <w:sz w:val="24"/>
          <w:szCs w:val="24"/>
        </w:rPr>
        <w:t xml:space="preserve">          单位名称：</w:t>
      </w:r>
    </w:p>
    <w:p>
      <w:pPr>
        <w:spacing w:line="240" w:lineRule="atLeast"/>
        <w:rPr>
          <w:rFonts w:ascii="宋体" w:hAnsi="宋体"/>
          <w:sz w:val="24"/>
          <w:szCs w:val="24"/>
        </w:rPr>
      </w:pPr>
    </w:p>
    <w:p>
      <w:pPr>
        <w:spacing w:line="0" w:lineRule="atLeast"/>
        <w:rPr>
          <w:rFonts w:ascii="宋体" w:hAnsi="宋体"/>
          <w:sz w:val="24"/>
          <w:szCs w:val="24"/>
        </w:rPr>
      </w:pPr>
      <w:r>
        <w:rPr>
          <w:rFonts w:hint="eastAsia" w:ascii="宋体" w:hAnsi="宋体"/>
          <w:sz w:val="24"/>
          <w:szCs w:val="24"/>
        </w:rPr>
        <w:t xml:space="preserve">                    投标人名称：</w:t>
      </w:r>
    </w:p>
    <w:p>
      <w:pPr>
        <w:spacing w:line="0" w:lineRule="atLeast"/>
        <w:rPr>
          <w:rFonts w:ascii="宋体" w:hAnsi="宋体"/>
          <w:sz w:val="24"/>
          <w:szCs w:val="24"/>
        </w:rPr>
      </w:pPr>
      <w:r>
        <w:rPr>
          <w:rFonts w:hint="eastAsia" w:ascii="宋体" w:hAnsi="宋体"/>
          <w:sz w:val="24"/>
          <w:szCs w:val="24"/>
        </w:rPr>
        <w:t xml:space="preserve">                                    （公章）</w:t>
      </w:r>
    </w:p>
    <w:p>
      <w:pPr>
        <w:spacing w:line="240" w:lineRule="atLeast"/>
        <w:rPr>
          <w:rFonts w:ascii="宋体" w:hAnsi="宋体"/>
          <w:sz w:val="24"/>
          <w:szCs w:val="24"/>
        </w:rPr>
      </w:pPr>
    </w:p>
    <w:p>
      <w:pPr>
        <w:spacing w:line="240" w:lineRule="atLeast"/>
        <w:rPr>
          <w:rFonts w:ascii="宋体" w:hAnsi="宋体"/>
          <w:sz w:val="24"/>
          <w:szCs w:val="24"/>
          <w:u w:val="single"/>
        </w:rPr>
      </w:pPr>
      <w:r>
        <w:rPr>
          <w:rFonts w:hint="eastAsia" w:ascii="宋体" w:hAnsi="宋体"/>
          <w:sz w:val="24"/>
          <w:szCs w:val="24"/>
        </w:rPr>
        <w:t xml:space="preserve">                    日      期：</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法定代表人身份证复印件</w:t>
      </w: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0"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此处贴法人代表身份证正面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tc>
      </w:tr>
    </w:tbl>
    <w:p>
      <w:pPr>
        <w:spacing w:line="240" w:lineRule="atLeast"/>
        <w:rPr>
          <w:rFonts w:ascii="宋体" w:hAnsi="宋体"/>
          <w:b/>
          <w:color w:val="000000"/>
          <w:sz w:val="24"/>
          <w:szCs w:val="24"/>
        </w:rPr>
      </w:pP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5"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此处贴法人代表身份证背面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p>
            <w:pPr>
              <w:spacing w:line="240" w:lineRule="atLeast"/>
              <w:jc w:val="center"/>
              <w:rPr>
                <w:rFonts w:ascii="宋体" w:hAnsi="宋体"/>
                <w:b/>
                <w:color w:val="000000"/>
                <w:sz w:val="24"/>
                <w:szCs w:val="24"/>
              </w:rPr>
            </w:pPr>
          </w:p>
          <w:p>
            <w:pPr>
              <w:spacing w:line="240" w:lineRule="atLeast"/>
              <w:rPr>
                <w:rFonts w:ascii="宋体" w:hAnsi="宋体"/>
                <w:b/>
                <w:color w:val="000000"/>
                <w:sz w:val="24"/>
                <w:szCs w:val="24"/>
              </w:rPr>
            </w:pPr>
          </w:p>
        </w:tc>
      </w:tr>
    </w:tbl>
    <w:p>
      <w:pPr>
        <w:spacing w:line="240" w:lineRule="atLeast"/>
        <w:rPr>
          <w:rFonts w:ascii="宋体" w:hAnsi="宋体"/>
          <w:b/>
          <w:color w:val="000000"/>
          <w:sz w:val="24"/>
          <w:szCs w:val="24"/>
        </w:rPr>
      </w:pPr>
    </w:p>
    <w:p>
      <w:pPr>
        <w:spacing w:line="240" w:lineRule="atLeast"/>
        <w:rPr>
          <w:rFonts w:ascii="宋体" w:hAnsi="宋体"/>
          <w:b/>
          <w:color w:val="000000"/>
          <w:sz w:val="24"/>
          <w:szCs w:val="24"/>
          <w:u w:val="single"/>
        </w:rPr>
      </w:pPr>
      <w:r>
        <w:rPr>
          <w:rFonts w:hint="eastAsia" w:ascii="宋体" w:hAnsi="宋体"/>
          <w:b/>
          <w:color w:val="000000"/>
          <w:sz w:val="24"/>
          <w:szCs w:val="24"/>
        </w:rPr>
        <w:t>法定代表人手机号码：；</w:t>
      </w:r>
    </w:p>
    <w:p>
      <w:pPr>
        <w:spacing w:line="240" w:lineRule="atLeast"/>
        <w:rPr>
          <w:rFonts w:ascii="宋体" w:hAnsi="宋体"/>
          <w:b/>
          <w:color w:val="000000"/>
          <w:sz w:val="24"/>
          <w:szCs w:val="24"/>
        </w:rPr>
      </w:pPr>
      <w:r>
        <w:rPr>
          <w:rFonts w:hint="eastAsia" w:ascii="宋体" w:hAnsi="宋体"/>
          <w:b/>
          <w:color w:val="000000"/>
          <w:sz w:val="24"/>
          <w:szCs w:val="24"/>
        </w:rPr>
        <w:t xml:space="preserve">法定代表人办公电话：。  </w:t>
      </w:r>
    </w:p>
    <w:p>
      <w:pPr>
        <w:spacing w:line="240" w:lineRule="atLeast"/>
        <w:rPr>
          <w:rFonts w:ascii="宋体" w:hAnsi="宋体"/>
          <w:b/>
          <w:color w:val="000000"/>
          <w:sz w:val="24"/>
          <w:szCs w:val="24"/>
        </w:rPr>
      </w:pPr>
      <w:r>
        <w:rPr>
          <w:rFonts w:hint="eastAsia" w:ascii="宋体" w:hAnsi="宋体"/>
          <w:b/>
          <w:color w:val="000000"/>
          <w:sz w:val="24"/>
          <w:szCs w:val="24"/>
        </w:rPr>
        <w:t>特殊说明：上述身份证复印必须清晰，如法定代表人的姓名、身份证号不清晰投标文件不能进入复审。（上述身份证复印件仅需在投标文件正本中按制式规格贴，副本中不需要贴）。代理人（被授权人）身份证复印件</w:t>
      </w: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0"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此处贴代理人（被授权人）身份证正面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tc>
      </w:tr>
    </w:tbl>
    <w:p>
      <w:pPr>
        <w:spacing w:line="240" w:lineRule="atLeast"/>
        <w:rPr>
          <w:rFonts w:ascii="宋体" w:hAnsi="宋体"/>
          <w:b/>
          <w:color w:val="000000"/>
          <w:sz w:val="24"/>
          <w:szCs w:val="24"/>
        </w:rPr>
      </w:pPr>
    </w:p>
    <w:tbl>
      <w:tblPr>
        <w:tblStyle w:val="41"/>
        <w:tblW w:w="720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5" w:hRule="atLeast"/>
        </w:trPr>
        <w:tc>
          <w:tcPr>
            <w:tcW w:w="720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此处贴代理人（被授权人）身份证背面</w:t>
            </w: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p>
          <w:p>
            <w:pPr>
              <w:spacing w:line="240" w:lineRule="atLeast"/>
              <w:jc w:val="center"/>
              <w:rPr>
                <w:rFonts w:ascii="宋体" w:hAnsi="宋体"/>
                <w:b/>
                <w:color w:val="000000"/>
                <w:sz w:val="24"/>
                <w:szCs w:val="24"/>
              </w:rPr>
            </w:pPr>
            <w:r>
              <w:rPr>
                <w:rFonts w:hint="eastAsia" w:ascii="宋体" w:hAnsi="宋体"/>
                <w:b/>
                <w:color w:val="000000"/>
                <w:sz w:val="24"/>
                <w:szCs w:val="24"/>
              </w:rPr>
              <w:t>（下注仅供投标用）</w:t>
            </w:r>
          </w:p>
          <w:p>
            <w:pPr>
              <w:spacing w:line="240" w:lineRule="atLeast"/>
              <w:rPr>
                <w:rFonts w:ascii="宋体" w:hAnsi="宋体"/>
                <w:b/>
                <w:color w:val="000000"/>
                <w:sz w:val="24"/>
                <w:szCs w:val="24"/>
              </w:rPr>
            </w:pPr>
          </w:p>
        </w:tc>
      </w:tr>
    </w:tbl>
    <w:p>
      <w:pPr>
        <w:spacing w:line="240" w:lineRule="atLeast"/>
        <w:rPr>
          <w:rFonts w:ascii="宋体" w:hAnsi="宋体"/>
          <w:b/>
          <w:color w:val="000000"/>
          <w:sz w:val="24"/>
          <w:szCs w:val="24"/>
        </w:rPr>
      </w:pPr>
    </w:p>
    <w:p>
      <w:pPr>
        <w:spacing w:line="240" w:lineRule="atLeast"/>
        <w:rPr>
          <w:rFonts w:ascii="宋体" w:hAnsi="宋体"/>
          <w:b/>
          <w:color w:val="000000"/>
          <w:sz w:val="24"/>
          <w:szCs w:val="24"/>
          <w:u w:val="single"/>
        </w:rPr>
      </w:pPr>
      <w:r>
        <w:rPr>
          <w:rFonts w:hint="eastAsia" w:ascii="宋体" w:hAnsi="宋体"/>
          <w:b/>
          <w:color w:val="000000"/>
          <w:sz w:val="24"/>
          <w:szCs w:val="24"/>
        </w:rPr>
        <w:t>代理人（被授权人）手机号码：；</w:t>
      </w:r>
    </w:p>
    <w:p>
      <w:pPr>
        <w:spacing w:line="240" w:lineRule="atLeast"/>
        <w:rPr>
          <w:rFonts w:ascii="宋体" w:hAnsi="宋体"/>
          <w:b/>
          <w:color w:val="000000"/>
          <w:sz w:val="24"/>
          <w:szCs w:val="24"/>
        </w:rPr>
      </w:pPr>
      <w:r>
        <w:rPr>
          <w:rFonts w:hint="eastAsia" w:ascii="宋体" w:hAnsi="宋体"/>
          <w:b/>
          <w:color w:val="000000"/>
          <w:sz w:val="24"/>
          <w:szCs w:val="24"/>
        </w:rPr>
        <w:t xml:space="preserve">代理人（被授权人）办公电话：。  </w:t>
      </w:r>
    </w:p>
    <w:p>
      <w:pPr>
        <w:spacing w:line="240" w:lineRule="atLeast"/>
        <w:rPr>
          <w:rFonts w:ascii="宋体" w:hAnsi="宋体"/>
          <w:b/>
          <w:color w:val="000000"/>
          <w:sz w:val="24"/>
          <w:szCs w:val="24"/>
        </w:rPr>
      </w:pPr>
      <w:r>
        <w:rPr>
          <w:rFonts w:hint="eastAsia" w:ascii="宋体" w:hAnsi="宋体"/>
          <w:b/>
          <w:color w:val="000000"/>
          <w:sz w:val="24"/>
          <w:szCs w:val="24"/>
        </w:rPr>
        <w:t>特殊说明：上述身份证复印必须清晰，如代理人（被授权人）的姓名、身份证号不清晰投标文件不能进入复审。（上述身份证复印件仅需在投标文件正本中按制式规格贴，副本中不需要贴）。</w:t>
      </w:r>
    </w:p>
    <w:sectPr>
      <w:headerReference r:id="rId3" w:type="default"/>
      <w:footerReference r:id="rId4" w:type="default"/>
      <w:pgSz w:w="11906" w:h="16838"/>
      <w:pgMar w:top="1440" w:right="1616" w:bottom="1440" w:left="2098" w:header="851" w:footer="992" w:gutter="0"/>
      <w:cols w:space="720" w:num="1"/>
      <w:docGrid w:type="lines"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10" w:usb3="00000000" w:csb0="00040000" w:csb1="00000000"/>
  </w:font>
  <w:font w:name="Geneva">
    <w:altName w:val="Arial"/>
    <w:panose1 w:val="00000000000000000000"/>
    <w:charset w:val="00"/>
    <w:family w:val="swiss"/>
    <w:pitch w:val="default"/>
    <w:sig w:usb0="00000000" w:usb1="00000000" w:usb2="00000000" w:usb3="00000000" w:csb0="00000001" w:csb1="00000000"/>
  </w:font>
  <w:font w:name="隶书">
    <w:altName w:val="微软雅黑"/>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HYb2gj">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宋体-18030">
    <w:altName w:val="宋体"/>
    <w:panose1 w:val="00000000000000000000"/>
    <w:charset w:val="86"/>
    <w:family w:val="modern"/>
    <w:pitch w:val="default"/>
    <w:sig w:usb0="00000000" w:usb1="00000000" w:usb2="000A005E"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6"/>
      </w:rPr>
    </w:pPr>
    <w:r>
      <w:fldChar w:fldCharType="begin"/>
    </w:r>
    <w:r>
      <w:rPr>
        <w:rStyle w:val="46"/>
      </w:rPr>
      <w:instrText xml:space="preserve">PAGE  </w:instrText>
    </w:r>
    <w:r>
      <w:fldChar w:fldCharType="separate"/>
    </w:r>
    <w:r>
      <w:rPr>
        <w:rStyle w:val="46"/>
      </w:rPr>
      <w:t>1</w:t>
    </w:r>
    <w:r>
      <w:fldChar w:fldCharType="end"/>
    </w:r>
  </w:p>
  <w:p>
    <w:pPr>
      <w:pStyle w:val="25"/>
      <w:rPr>
        <w:rFonts w:ascii="Arial" w:hAnsi="Arial"/>
        <w:b/>
        <w:i/>
        <w:sz w:val="24"/>
      </w:rP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2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21805672"/>
    <w:multiLevelType w:val="multilevel"/>
    <w:tmpl w:val="21805672"/>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1B00D4"/>
    <w:multiLevelType w:val="multilevel"/>
    <w:tmpl w:val="3D1B00D4"/>
    <w:lvl w:ilvl="0" w:tentative="0">
      <w:start w:val="2"/>
      <w:numFmt w:val="decimal"/>
      <w:lvlText w:val=""/>
      <w:lvlJc w:val="left"/>
      <w:pPr>
        <w:tabs>
          <w:tab w:val="left" w:pos="360"/>
        </w:tabs>
        <w:ind w:left="360" w:hanging="360"/>
      </w:pPr>
      <w:rPr>
        <w:rFonts w:hint="default" w:ascii="Times New Roman" w:hAnsi="Times New Roman"/>
      </w:rPr>
    </w:lvl>
    <w:lvl w:ilvl="1" w:tentative="0">
      <w:start w:val="1"/>
      <w:numFmt w:val="decimal"/>
      <w:lvlText w:val="%1.%2"/>
      <w:lvlJc w:val="left"/>
      <w:pPr>
        <w:tabs>
          <w:tab w:val="left" w:pos="1425"/>
        </w:tabs>
        <w:ind w:left="1425" w:hanging="780"/>
      </w:pPr>
      <w:rPr>
        <w:rFonts w:hint="default"/>
      </w:rPr>
    </w:lvl>
    <w:lvl w:ilvl="2" w:tentative="0">
      <w:start w:val="1"/>
      <w:numFmt w:val="decimal"/>
      <w:lvlText w:val="%1.%2.%3"/>
      <w:lvlJc w:val="left"/>
      <w:pPr>
        <w:tabs>
          <w:tab w:val="left" w:pos="2070"/>
        </w:tabs>
        <w:ind w:left="2070" w:hanging="780"/>
      </w:pPr>
      <w:rPr>
        <w:rFonts w:hint="default"/>
      </w:rPr>
    </w:lvl>
    <w:lvl w:ilvl="3" w:tentative="0">
      <w:start w:val="1"/>
      <w:numFmt w:val="decimal"/>
      <w:lvlText w:val="%1.%2.%3.%4"/>
      <w:lvlJc w:val="left"/>
      <w:pPr>
        <w:tabs>
          <w:tab w:val="left" w:pos="2715"/>
        </w:tabs>
        <w:ind w:left="2715" w:hanging="780"/>
      </w:pPr>
      <w:rPr>
        <w:rFonts w:hint="default"/>
      </w:rPr>
    </w:lvl>
    <w:lvl w:ilvl="4" w:tentative="0">
      <w:start w:val="1"/>
      <w:numFmt w:val="decimal"/>
      <w:lvlText w:val="%1.%2.%3.%4.%5"/>
      <w:lvlJc w:val="left"/>
      <w:pPr>
        <w:tabs>
          <w:tab w:val="left" w:pos="3360"/>
        </w:tabs>
        <w:ind w:left="3360" w:hanging="780"/>
      </w:pPr>
      <w:rPr>
        <w:rFonts w:hint="default"/>
      </w:rPr>
    </w:lvl>
    <w:lvl w:ilvl="5" w:tentative="0">
      <w:start w:val="1"/>
      <w:numFmt w:val="decimal"/>
      <w:lvlText w:val="%1.%2.%3.%4.%5.%6"/>
      <w:lvlJc w:val="left"/>
      <w:pPr>
        <w:tabs>
          <w:tab w:val="left" w:pos="4005"/>
        </w:tabs>
        <w:ind w:left="4005" w:hanging="780"/>
      </w:pPr>
      <w:rPr>
        <w:rFonts w:hint="default"/>
      </w:rPr>
    </w:lvl>
    <w:lvl w:ilvl="6" w:tentative="0">
      <w:start w:val="1"/>
      <w:numFmt w:val="decimal"/>
      <w:lvlText w:val="%1.%2.%3.%4.%5.%6.%7"/>
      <w:lvlJc w:val="left"/>
      <w:pPr>
        <w:tabs>
          <w:tab w:val="left" w:pos="4650"/>
        </w:tabs>
        <w:ind w:left="4650" w:hanging="780"/>
      </w:pPr>
      <w:rPr>
        <w:rFonts w:hint="default"/>
      </w:rPr>
    </w:lvl>
    <w:lvl w:ilvl="7" w:tentative="0">
      <w:start w:val="1"/>
      <w:numFmt w:val="decimal"/>
      <w:lvlText w:val="%1.%2.%3.%4.%5.%6.%7.%8"/>
      <w:lvlJc w:val="left"/>
      <w:pPr>
        <w:tabs>
          <w:tab w:val="left" w:pos="5295"/>
        </w:tabs>
        <w:ind w:left="5295" w:hanging="780"/>
      </w:pPr>
      <w:rPr>
        <w:rFonts w:hint="default"/>
      </w:rPr>
    </w:lvl>
    <w:lvl w:ilvl="8" w:tentative="0">
      <w:start w:val="1"/>
      <w:numFmt w:val="decimal"/>
      <w:lvlText w:val="%1.%2.%3.%4.%5.%6.%7.%8.%9"/>
      <w:lvlJc w:val="left"/>
      <w:pPr>
        <w:tabs>
          <w:tab w:val="left" w:pos="5940"/>
        </w:tabs>
        <w:ind w:left="5940" w:hanging="780"/>
      </w:pPr>
      <w:rPr>
        <w:rFonts w:hint="default"/>
      </w:rPr>
    </w:lvl>
  </w:abstractNum>
  <w:abstractNum w:abstractNumId="3">
    <w:nsid w:val="40AB1CBA"/>
    <w:multiLevelType w:val="singleLevel"/>
    <w:tmpl w:val="40AB1CBA"/>
    <w:lvl w:ilvl="0" w:tentative="0">
      <w:start w:val="2"/>
      <w:numFmt w:val="upperLetter"/>
      <w:pStyle w:val="2"/>
      <w:lvlText w:val="%1."/>
      <w:lvlJc w:val="left"/>
      <w:pPr>
        <w:tabs>
          <w:tab w:val="left" w:pos="1830"/>
        </w:tabs>
        <w:ind w:left="1830" w:hanging="360"/>
      </w:pPr>
      <w:rPr>
        <w:rFonts w:hint="eastAsia"/>
      </w:rPr>
    </w:lvl>
  </w:abstractNum>
  <w:abstractNum w:abstractNumId="4">
    <w:nsid w:val="6B90558A"/>
    <w:multiLevelType w:val="singleLevel"/>
    <w:tmpl w:val="6B90558A"/>
    <w:lvl w:ilvl="0" w:tentative="0">
      <w:start w:val="2"/>
      <w:numFmt w:val="decimal"/>
      <w:suff w:val="nothing"/>
      <w:lvlText w:val="%1、"/>
      <w:lvlJc w:val="left"/>
    </w:lvl>
  </w:abstractNum>
  <w:abstractNum w:abstractNumId="5">
    <w:nsid w:val="7551C168"/>
    <w:multiLevelType w:val="singleLevel"/>
    <w:tmpl w:val="7551C168"/>
    <w:lvl w:ilvl="0" w:tentative="0">
      <w:start w:val="7"/>
      <w:numFmt w:val="chineseCounting"/>
      <w:suff w:val="nothing"/>
      <w:lvlText w:val="%1、"/>
      <w:lvlJc w:val="left"/>
      <w:rPr>
        <w:rFonts w:hint="eastAsia"/>
      </w:rPr>
    </w:lvl>
  </w:abstractNum>
  <w:num w:numId="1">
    <w:abstractNumId w:val="3"/>
  </w:num>
  <w:num w:numId="2">
    <w:abstractNumId w:val="0"/>
  </w:num>
  <w:num w:numId="3">
    <w:abstractNumId w:val="5"/>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hideSpellingErrors/>
  <w:documentProtection w:enforcement="0"/>
  <w:defaultTabStop w:val="425"/>
  <w:drawingGridHorizontalSpacing w:val="105"/>
  <w:drawingGridVerticalSpacing w:val="303"/>
  <w:noPunctuationKerning w:val="1"/>
  <w:characterSpacingControl w:val="compressPunctuation"/>
  <w:compat>
    <w:spaceForUL/>
    <w:balanceSingleByteDoubleByteWidth/>
    <w:doNotLeaveBackslashAlone/>
    <w:doNotExpandShiftReturn/>
    <w:useFELayout/>
    <w:compatSetting w:name="compatibilityMode" w:uri="http://schemas.microsoft.com/office/word" w:val="12"/>
  </w:compat>
  <w:rsids>
    <w:rsidRoot w:val="00B15DF5"/>
    <w:rsid w:val="00000183"/>
    <w:rsid w:val="000018D1"/>
    <w:rsid w:val="00002503"/>
    <w:rsid w:val="000030F8"/>
    <w:rsid w:val="0000344E"/>
    <w:rsid w:val="000037CE"/>
    <w:rsid w:val="00004217"/>
    <w:rsid w:val="00006911"/>
    <w:rsid w:val="00006D7A"/>
    <w:rsid w:val="00006F6C"/>
    <w:rsid w:val="0000716E"/>
    <w:rsid w:val="000106D8"/>
    <w:rsid w:val="0001241E"/>
    <w:rsid w:val="000140A1"/>
    <w:rsid w:val="0001455F"/>
    <w:rsid w:val="00014D7C"/>
    <w:rsid w:val="00014FB0"/>
    <w:rsid w:val="00015007"/>
    <w:rsid w:val="0001551F"/>
    <w:rsid w:val="0001584B"/>
    <w:rsid w:val="00015D35"/>
    <w:rsid w:val="00016300"/>
    <w:rsid w:val="00017398"/>
    <w:rsid w:val="00017A66"/>
    <w:rsid w:val="000204EC"/>
    <w:rsid w:val="00021BD6"/>
    <w:rsid w:val="000250CC"/>
    <w:rsid w:val="0002541B"/>
    <w:rsid w:val="00025B44"/>
    <w:rsid w:val="000269C2"/>
    <w:rsid w:val="00026A6F"/>
    <w:rsid w:val="00026C09"/>
    <w:rsid w:val="0002735D"/>
    <w:rsid w:val="000274DF"/>
    <w:rsid w:val="00031721"/>
    <w:rsid w:val="0003190F"/>
    <w:rsid w:val="00031FA2"/>
    <w:rsid w:val="00032885"/>
    <w:rsid w:val="000337B9"/>
    <w:rsid w:val="00033B24"/>
    <w:rsid w:val="0003420A"/>
    <w:rsid w:val="000355FD"/>
    <w:rsid w:val="00036741"/>
    <w:rsid w:val="00040B80"/>
    <w:rsid w:val="00041402"/>
    <w:rsid w:val="000416B4"/>
    <w:rsid w:val="00041909"/>
    <w:rsid w:val="00042857"/>
    <w:rsid w:val="00042CED"/>
    <w:rsid w:val="00043991"/>
    <w:rsid w:val="00043A11"/>
    <w:rsid w:val="00043FA0"/>
    <w:rsid w:val="000444FF"/>
    <w:rsid w:val="00044C56"/>
    <w:rsid w:val="00046FF2"/>
    <w:rsid w:val="000504A5"/>
    <w:rsid w:val="00051BC0"/>
    <w:rsid w:val="0005205D"/>
    <w:rsid w:val="00052F16"/>
    <w:rsid w:val="00054658"/>
    <w:rsid w:val="000547CD"/>
    <w:rsid w:val="00054C3A"/>
    <w:rsid w:val="000560FB"/>
    <w:rsid w:val="000575AE"/>
    <w:rsid w:val="00057CBE"/>
    <w:rsid w:val="00063BD9"/>
    <w:rsid w:val="00064837"/>
    <w:rsid w:val="000649C8"/>
    <w:rsid w:val="000654E5"/>
    <w:rsid w:val="000668D1"/>
    <w:rsid w:val="0007098C"/>
    <w:rsid w:val="00070B56"/>
    <w:rsid w:val="00070C1C"/>
    <w:rsid w:val="0007205D"/>
    <w:rsid w:val="0007254D"/>
    <w:rsid w:val="0007256B"/>
    <w:rsid w:val="000727C4"/>
    <w:rsid w:val="000744E9"/>
    <w:rsid w:val="000750EF"/>
    <w:rsid w:val="000756BB"/>
    <w:rsid w:val="000800FE"/>
    <w:rsid w:val="00080CD6"/>
    <w:rsid w:val="00081221"/>
    <w:rsid w:val="0008159C"/>
    <w:rsid w:val="00081839"/>
    <w:rsid w:val="00083D00"/>
    <w:rsid w:val="00085475"/>
    <w:rsid w:val="00086C4C"/>
    <w:rsid w:val="00087134"/>
    <w:rsid w:val="00087B54"/>
    <w:rsid w:val="00087B5B"/>
    <w:rsid w:val="000903EF"/>
    <w:rsid w:val="000904D6"/>
    <w:rsid w:val="000913FA"/>
    <w:rsid w:val="00091620"/>
    <w:rsid w:val="000922DE"/>
    <w:rsid w:val="00094DB8"/>
    <w:rsid w:val="0009648A"/>
    <w:rsid w:val="00096A41"/>
    <w:rsid w:val="00097A31"/>
    <w:rsid w:val="00097E72"/>
    <w:rsid w:val="000A0241"/>
    <w:rsid w:val="000A11F3"/>
    <w:rsid w:val="000A2B64"/>
    <w:rsid w:val="000A599E"/>
    <w:rsid w:val="000A69B5"/>
    <w:rsid w:val="000B0900"/>
    <w:rsid w:val="000B1302"/>
    <w:rsid w:val="000B1C4E"/>
    <w:rsid w:val="000B2814"/>
    <w:rsid w:val="000B459E"/>
    <w:rsid w:val="000B6250"/>
    <w:rsid w:val="000B7133"/>
    <w:rsid w:val="000B77BC"/>
    <w:rsid w:val="000C0F3D"/>
    <w:rsid w:val="000C2491"/>
    <w:rsid w:val="000C2C76"/>
    <w:rsid w:val="000C474E"/>
    <w:rsid w:val="000C475A"/>
    <w:rsid w:val="000C4A31"/>
    <w:rsid w:val="000C59B9"/>
    <w:rsid w:val="000C5DF2"/>
    <w:rsid w:val="000C7C04"/>
    <w:rsid w:val="000D14A3"/>
    <w:rsid w:val="000D1B8B"/>
    <w:rsid w:val="000D2891"/>
    <w:rsid w:val="000D2D58"/>
    <w:rsid w:val="000D41A9"/>
    <w:rsid w:val="000D51C6"/>
    <w:rsid w:val="000D5234"/>
    <w:rsid w:val="000D5DB7"/>
    <w:rsid w:val="000D652F"/>
    <w:rsid w:val="000D71A7"/>
    <w:rsid w:val="000D7BAD"/>
    <w:rsid w:val="000E0F2A"/>
    <w:rsid w:val="000E2292"/>
    <w:rsid w:val="000E2877"/>
    <w:rsid w:val="000E2BA4"/>
    <w:rsid w:val="000E3997"/>
    <w:rsid w:val="000E3D42"/>
    <w:rsid w:val="000E634A"/>
    <w:rsid w:val="000E7904"/>
    <w:rsid w:val="000E7B2D"/>
    <w:rsid w:val="000F03A4"/>
    <w:rsid w:val="000F0A30"/>
    <w:rsid w:val="000F254B"/>
    <w:rsid w:val="000F3133"/>
    <w:rsid w:val="000F32CC"/>
    <w:rsid w:val="000F33D4"/>
    <w:rsid w:val="000F5AF8"/>
    <w:rsid w:val="000F5D47"/>
    <w:rsid w:val="000F6697"/>
    <w:rsid w:val="000F6A97"/>
    <w:rsid w:val="0010070B"/>
    <w:rsid w:val="00100968"/>
    <w:rsid w:val="001037AC"/>
    <w:rsid w:val="00106678"/>
    <w:rsid w:val="00106E74"/>
    <w:rsid w:val="00110776"/>
    <w:rsid w:val="00112C9C"/>
    <w:rsid w:val="00114C99"/>
    <w:rsid w:val="00114D9A"/>
    <w:rsid w:val="00114DCA"/>
    <w:rsid w:val="0011591E"/>
    <w:rsid w:val="00115F06"/>
    <w:rsid w:val="00116EBF"/>
    <w:rsid w:val="001210CE"/>
    <w:rsid w:val="001234FC"/>
    <w:rsid w:val="00123F99"/>
    <w:rsid w:val="001252E6"/>
    <w:rsid w:val="00125333"/>
    <w:rsid w:val="001254EE"/>
    <w:rsid w:val="00125656"/>
    <w:rsid w:val="00126DA7"/>
    <w:rsid w:val="00130CC5"/>
    <w:rsid w:val="001310A0"/>
    <w:rsid w:val="0013135B"/>
    <w:rsid w:val="00132EA2"/>
    <w:rsid w:val="00133090"/>
    <w:rsid w:val="001352D5"/>
    <w:rsid w:val="001368D7"/>
    <w:rsid w:val="001371B7"/>
    <w:rsid w:val="00140B43"/>
    <w:rsid w:val="00141023"/>
    <w:rsid w:val="00141DE3"/>
    <w:rsid w:val="00142D97"/>
    <w:rsid w:val="00142F33"/>
    <w:rsid w:val="00144350"/>
    <w:rsid w:val="00144416"/>
    <w:rsid w:val="00144C5B"/>
    <w:rsid w:val="001458BF"/>
    <w:rsid w:val="001459C8"/>
    <w:rsid w:val="001459EC"/>
    <w:rsid w:val="00150BD6"/>
    <w:rsid w:val="001513E7"/>
    <w:rsid w:val="001537AF"/>
    <w:rsid w:val="00153827"/>
    <w:rsid w:val="001541DA"/>
    <w:rsid w:val="00154356"/>
    <w:rsid w:val="0015509C"/>
    <w:rsid w:val="0015595C"/>
    <w:rsid w:val="00156F13"/>
    <w:rsid w:val="00157FD8"/>
    <w:rsid w:val="001602A7"/>
    <w:rsid w:val="001606A8"/>
    <w:rsid w:val="00162BF2"/>
    <w:rsid w:val="00163303"/>
    <w:rsid w:val="001644E7"/>
    <w:rsid w:val="00164895"/>
    <w:rsid w:val="00164B36"/>
    <w:rsid w:val="00167E22"/>
    <w:rsid w:val="00167F2F"/>
    <w:rsid w:val="00170640"/>
    <w:rsid w:val="00170922"/>
    <w:rsid w:val="001709BC"/>
    <w:rsid w:val="001713AC"/>
    <w:rsid w:val="00172454"/>
    <w:rsid w:val="00172BFE"/>
    <w:rsid w:val="00173452"/>
    <w:rsid w:val="0017389B"/>
    <w:rsid w:val="0017394F"/>
    <w:rsid w:val="00174450"/>
    <w:rsid w:val="0017452F"/>
    <w:rsid w:val="00174787"/>
    <w:rsid w:val="001747BC"/>
    <w:rsid w:val="00175A4C"/>
    <w:rsid w:val="00176177"/>
    <w:rsid w:val="00176EFE"/>
    <w:rsid w:val="0017799F"/>
    <w:rsid w:val="00180AC7"/>
    <w:rsid w:val="00180E94"/>
    <w:rsid w:val="001815D3"/>
    <w:rsid w:val="001826A7"/>
    <w:rsid w:val="001826B8"/>
    <w:rsid w:val="00182706"/>
    <w:rsid w:val="00183580"/>
    <w:rsid w:val="00183D3D"/>
    <w:rsid w:val="00184355"/>
    <w:rsid w:val="00186387"/>
    <w:rsid w:val="001868DD"/>
    <w:rsid w:val="00191B10"/>
    <w:rsid w:val="00191C51"/>
    <w:rsid w:val="00191FBD"/>
    <w:rsid w:val="00192E50"/>
    <w:rsid w:val="00193146"/>
    <w:rsid w:val="00193C7E"/>
    <w:rsid w:val="001943DE"/>
    <w:rsid w:val="0019442A"/>
    <w:rsid w:val="00196C10"/>
    <w:rsid w:val="00197122"/>
    <w:rsid w:val="0019763A"/>
    <w:rsid w:val="00197769"/>
    <w:rsid w:val="001979FC"/>
    <w:rsid w:val="00197C4B"/>
    <w:rsid w:val="001A0355"/>
    <w:rsid w:val="001A0401"/>
    <w:rsid w:val="001A08EC"/>
    <w:rsid w:val="001A0E91"/>
    <w:rsid w:val="001A0FF5"/>
    <w:rsid w:val="001A2224"/>
    <w:rsid w:val="001A29B8"/>
    <w:rsid w:val="001A3D6A"/>
    <w:rsid w:val="001A4134"/>
    <w:rsid w:val="001A675C"/>
    <w:rsid w:val="001A6B53"/>
    <w:rsid w:val="001B0404"/>
    <w:rsid w:val="001B087E"/>
    <w:rsid w:val="001B0EED"/>
    <w:rsid w:val="001B3471"/>
    <w:rsid w:val="001B37E1"/>
    <w:rsid w:val="001B37FD"/>
    <w:rsid w:val="001B3B17"/>
    <w:rsid w:val="001B45EE"/>
    <w:rsid w:val="001B5A9F"/>
    <w:rsid w:val="001C00C6"/>
    <w:rsid w:val="001C0949"/>
    <w:rsid w:val="001C0A9C"/>
    <w:rsid w:val="001C4C5D"/>
    <w:rsid w:val="001C4D74"/>
    <w:rsid w:val="001C555B"/>
    <w:rsid w:val="001C57BD"/>
    <w:rsid w:val="001C7181"/>
    <w:rsid w:val="001D0A02"/>
    <w:rsid w:val="001D38C2"/>
    <w:rsid w:val="001D3A34"/>
    <w:rsid w:val="001D4DF2"/>
    <w:rsid w:val="001D7029"/>
    <w:rsid w:val="001D7E88"/>
    <w:rsid w:val="001E1497"/>
    <w:rsid w:val="001E195E"/>
    <w:rsid w:val="001E1A54"/>
    <w:rsid w:val="001E2B1A"/>
    <w:rsid w:val="001E3BA7"/>
    <w:rsid w:val="001E3C5C"/>
    <w:rsid w:val="001E481A"/>
    <w:rsid w:val="001E4C5A"/>
    <w:rsid w:val="001E74C7"/>
    <w:rsid w:val="001E771F"/>
    <w:rsid w:val="001E7C74"/>
    <w:rsid w:val="001E7EC6"/>
    <w:rsid w:val="001F1363"/>
    <w:rsid w:val="001F199F"/>
    <w:rsid w:val="001F2272"/>
    <w:rsid w:val="001F3748"/>
    <w:rsid w:val="002000A1"/>
    <w:rsid w:val="002009BF"/>
    <w:rsid w:val="0020154B"/>
    <w:rsid w:val="002019B3"/>
    <w:rsid w:val="00202C1C"/>
    <w:rsid w:val="002032A0"/>
    <w:rsid w:val="0020390D"/>
    <w:rsid w:val="00207387"/>
    <w:rsid w:val="00207F5E"/>
    <w:rsid w:val="002111D3"/>
    <w:rsid w:val="00212377"/>
    <w:rsid w:val="0021284B"/>
    <w:rsid w:val="00212858"/>
    <w:rsid w:val="00212F29"/>
    <w:rsid w:val="00213734"/>
    <w:rsid w:val="00215BE8"/>
    <w:rsid w:val="0021624C"/>
    <w:rsid w:val="0021710A"/>
    <w:rsid w:val="002173E2"/>
    <w:rsid w:val="00217EBC"/>
    <w:rsid w:val="002209F9"/>
    <w:rsid w:val="00221144"/>
    <w:rsid w:val="00221405"/>
    <w:rsid w:val="00221652"/>
    <w:rsid w:val="002227BE"/>
    <w:rsid w:val="00222EC9"/>
    <w:rsid w:val="00223705"/>
    <w:rsid w:val="002249DF"/>
    <w:rsid w:val="00224A4C"/>
    <w:rsid w:val="002254D9"/>
    <w:rsid w:val="002262F0"/>
    <w:rsid w:val="002263A6"/>
    <w:rsid w:val="0022677B"/>
    <w:rsid w:val="00227025"/>
    <w:rsid w:val="0023067D"/>
    <w:rsid w:val="00230801"/>
    <w:rsid w:val="00230C20"/>
    <w:rsid w:val="00230CEA"/>
    <w:rsid w:val="00231FC1"/>
    <w:rsid w:val="00232491"/>
    <w:rsid w:val="002325F2"/>
    <w:rsid w:val="002344D6"/>
    <w:rsid w:val="00234F24"/>
    <w:rsid w:val="00235C1E"/>
    <w:rsid w:val="00236A45"/>
    <w:rsid w:val="002419FB"/>
    <w:rsid w:val="00241B79"/>
    <w:rsid w:val="00241D17"/>
    <w:rsid w:val="00241FDD"/>
    <w:rsid w:val="00243161"/>
    <w:rsid w:val="00245BEE"/>
    <w:rsid w:val="00245DAA"/>
    <w:rsid w:val="002469E5"/>
    <w:rsid w:val="0024748E"/>
    <w:rsid w:val="00250EC7"/>
    <w:rsid w:val="00250F93"/>
    <w:rsid w:val="002515CB"/>
    <w:rsid w:val="0025173A"/>
    <w:rsid w:val="00253CFC"/>
    <w:rsid w:val="0025431F"/>
    <w:rsid w:val="00254E43"/>
    <w:rsid w:val="00256B26"/>
    <w:rsid w:val="00256BF7"/>
    <w:rsid w:val="002575D2"/>
    <w:rsid w:val="00260C73"/>
    <w:rsid w:val="00260CD5"/>
    <w:rsid w:val="00261725"/>
    <w:rsid w:val="00262A77"/>
    <w:rsid w:val="00262D49"/>
    <w:rsid w:val="002635EA"/>
    <w:rsid w:val="002643BB"/>
    <w:rsid w:val="002649B0"/>
    <w:rsid w:val="00264FA4"/>
    <w:rsid w:val="0026593C"/>
    <w:rsid w:val="00265F68"/>
    <w:rsid w:val="00266D7E"/>
    <w:rsid w:val="00267F1F"/>
    <w:rsid w:val="00270E69"/>
    <w:rsid w:val="00270EF0"/>
    <w:rsid w:val="0027107C"/>
    <w:rsid w:val="0027111D"/>
    <w:rsid w:val="00272E7F"/>
    <w:rsid w:val="00273908"/>
    <w:rsid w:val="00273C5E"/>
    <w:rsid w:val="0027479A"/>
    <w:rsid w:val="00280F2D"/>
    <w:rsid w:val="0028129B"/>
    <w:rsid w:val="00281520"/>
    <w:rsid w:val="0028234F"/>
    <w:rsid w:val="00282C8F"/>
    <w:rsid w:val="00283507"/>
    <w:rsid w:val="002850B0"/>
    <w:rsid w:val="00285AA2"/>
    <w:rsid w:val="00286CFF"/>
    <w:rsid w:val="00287268"/>
    <w:rsid w:val="0028727E"/>
    <w:rsid w:val="00291AB4"/>
    <w:rsid w:val="00291B1D"/>
    <w:rsid w:val="002944DA"/>
    <w:rsid w:val="00296D28"/>
    <w:rsid w:val="002971F1"/>
    <w:rsid w:val="00297E33"/>
    <w:rsid w:val="002A000B"/>
    <w:rsid w:val="002A05CB"/>
    <w:rsid w:val="002A1779"/>
    <w:rsid w:val="002A20DA"/>
    <w:rsid w:val="002A48D3"/>
    <w:rsid w:val="002A4946"/>
    <w:rsid w:val="002A4EEF"/>
    <w:rsid w:val="002A523F"/>
    <w:rsid w:val="002A5E2A"/>
    <w:rsid w:val="002A723E"/>
    <w:rsid w:val="002A7F01"/>
    <w:rsid w:val="002B0140"/>
    <w:rsid w:val="002B0EB2"/>
    <w:rsid w:val="002B18C5"/>
    <w:rsid w:val="002B2210"/>
    <w:rsid w:val="002B2445"/>
    <w:rsid w:val="002B49B1"/>
    <w:rsid w:val="002B52EA"/>
    <w:rsid w:val="002B5317"/>
    <w:rsid w:val="002B60EE"/>
    <w:rsid w:val="002B70CB"/>
    <w:rsid w:val="002B7B1C"/>
    <w:rsid w:val="002C1C9F"/>
    <w:rsid w:val="002C22FE"/>
    <w:rsid w:val="002C29A4"/>
    <w:rsid w:val="002C392B"/>
    <w:rsid w:val="002C3ACF"/>
    <w:rsid w:val="002C44FE"/>
    <w:rsid w:val="002C4670"/>
    <w:rsid w:val="002C4BE3"/>
    <w:rsid w:val="002C4BE5"/>
    <w:rsid w:val="002C4CBC"/>
    <w:rsid w:val="002C5BF3"/>
    <w:rsid w:val="002C64B6"/>
    <w:rsid w:val="002C6C74"/>
    <w:rsid w:val="002C754D"/>
    <w:rsid w:val="002C7B3B"/>
    <w:rsid w:val="002C7E57"/>
    <w:rsid w:val="002D2809"/>
    <w:rsid w:val="002D3E09"/>
    <w:rsid w:val="002D40B3"/>
    <w:rsid w:val="002D4F17"/>
    <w:rsid w:val="002D52D0"/>
    <w:rsid w:val="002D6167"/>
    <w:rsid w:val="002E0D7A"/>
    <w:rsid w:val="002E1081"/>
    <w:rsid w:val="002E1B38"/>
    <w:rsid w:val="002E449C"/>
    <w:rsid w:val="002E4997"/>
    <w:rsid w:val="002E4EEC"/>
    <w:rsid w:val="002E5DFA"/>
    <w:rsid w:val="002E6115"/>
    <w:rsid w:val="002E6E80"/>
    <w:rsid w:val="002E78AD"/>
    <w:rsid w:val="002F07CF"/>
    <w:rsid w:val="002F0B3F"/>
    <w:rsid w:val="002F3074"/>
    <w:rsid w:val="002F38C3"/>
    <w:rsid w:val="002F6450"/>
    <w:rsid w:val="002F6FDC"/>
    <w:rsid w:val="002F7582"/>
    <w:rsid w:val="003002AE"/>
    <w:rsid w:val="0030067C"/>
    <w:rsid w:val="00301934"/>
    <w:rsid w:val="003022EA"/>
    <w:rsid w:val="00302690"/>
    <w:rsid w:val="003037F3"/>
    <w:rsid w:val="00303A82"/>
    <w:rsid w:val="00306136"/>
    <w:rsid w:val="00306502"/>
    <w:rsid w:val="00307E12"/>
    <w:rsid w:val="00310044"/>
    <w:rsid w:val="00310C10"/>
    <w:rsid w:val="003113E2"/>
    <w:rsid w:val="00312F7A"/>
    <w:rsid w:val="0031374D"/>
    <w:rsid w:val="00314A31"/>
    <w:rsid w:val="00315122"/>
    <w:rsid w:val="00316DEB"/>
    <w:rsid w:val="00317839"/>
    <w:rsid w:val="00321037"/>
    <w:rsid w:val="003227B6"/>
    <w:rsid w:val="00322C43"/>
    <w:rsid w:val="003240F7"/>
    <w:rsid w:val="00324B33"/>
    <w:rsid w:val="00324FBF"/>
    <w:rsid w:val="00325CF1"/>
    <w:rsid w:val="00326D1D"/>
    <w:rsid w:val="00334547"/>
    <w:rsid w:val="00334B20"/>
    <w:rsid w:val="00335996"/>
    <w:rsid w:val="00337056"/>
    <w:rsid w:val="00337710"/>
    <w:rsid w:val="00340AFD"/>
    <w:rsid w:val="00340B0F"/>
    <w:rsid w:val="00340E0C"/>
    <w:rsid w:val="00341AE0"/>
    <w:rsid w:val="00341BF5"/>
    <w:rsid w:val="0034229E"/>
    <w:rsid w:val="003461EE"/>
    <w:rsid w:val="0034621D"/>
    <w:rsid w:val="00346A52"/>
    <w:rsid w:val="003474C6"/>
    <w:rsid w:val="00347C27"/>
    <w:rsid w:val="00347FC2"/>
    <w:rsid w:val="003501DB"/>
    <w:rsid w:val="00351AF6"/>
    <w:rsid w:val="00351C44"/>
    <w:rsid w:val="00353D0A"/>
    <w:rsid w:val="00353F53"/>
    <w:rsid w:val="00354146"/>
    <w:rsid w:val="00355183"/>
    <w:rsid w:val="0035600D"/>
    <w:rsid w:val="003568D9"/>
    <w:rsid w:val="00363D0A"/>
    <w:rsid w:val="0036458B"/>
    <w:rsid w:val="0036584A"/>
    <w:rsid w:val="00366CA2"/>
    <w:rsid w:val="003677F2"/>
    <w:rsid w:val="00367B00"/>
    <w:rsid w:val="00371B61"/>
    <w:rsid w:val="00372350"/>
    <w:rsid w:val="003729EE"/>
    <w:rsid w:val="00372A3B"/>
    <w:rsid w:val="0037343B"/>
    <w:rsid w:val="003743BD"/>
    <w:rsid w:val="00374DB2"/>
    <w:rsid w:val="0037534E"/>
    <w:rsid w:val="003766A6"/>
    <w:rsid w:val="003766DC"/>
    <w:rsid w:val="003803D0"/>
    <w:rsid w:val="00380A57"/>
    <w:rsid w:val="00381649"/>
    <w:rsid w:val="00382DFE"/>
    <w:rsid w:val="003842B7"/>
    <w:rsid w:val="00384512"/>
    <w:rsid w:val="0038464B"/>
    <w:rsid w:val="0039090D"/>
    <w:rsid w:val="00390FF3"/>
    <w:rsid w:val="003913C5"/>
    <w:rsid w:val="003943E4"/>
    <w:rsid w:val="00395388"/>
    <w:rsid w:val="00395765"/>
    <w:rsid w:val="0039650D"/>
    <w:rsid w:val="00396532"/>
    <w:rsid w:val="00396660"/>
    <w:rsid w:val="00396F07"/>
    <w:rsid w:val="003A0C26"/>
    <w:rsid w:val="003A3A2B"/>
    <w:rsid w:val="003A495B"/>
    <w:rsid w:val="003A4A1D"/>
    <w:rsid w:val="003A5C48"/>
    <w:rsid w:val="003A7523"/>
    <w:rsid w:val="003B18F5"/>
    <w:rsid w:val="003B1B85"/>
    <w:rsid w:val="003B2404"/>
    <w:rsid w:val="003B2518"/>
    <w:rsid w:val="003B2A9B"/>
    <w:rsid w:val="003B411B"/>
    <w:rsid w:val="003B54D7"/>
    <w:rsid w:val="003B5D1A"/>
    <w:rsid w:val="003B6275"/>
    <w:rsid w:val="003B6CC5"/>
    <w:rsid w:val="003B76A7"/>
    <w:rsid w:val="003C178C"/>
    <w:rsid w:val="003C2428"/>
    <w:rsid w:val="003C2778"/>
    <w:rsid w:val="003C28D0"/>
    <w:rsid w:val="003C3AF6"/>
    <w:rsid w:val="003C45BA"/>
    <w:rsid w:val="003C464E"/>
    <w:rsid w:val="003C4A49"/>
    <w:rsid w:val="003C5391"/>
    <w:rsid w:val="003C5BF4"/>
    <w:rsid w:val="003C73D4"/>
    <w:rsid w:val="003C7B6C"/>
    <w:rsid w:val="003D085F"/>
    <w:rsid w:val="003D0E88"/>
    <w:rsid w:val="003D1E73"/>
    <w:rsid w:val="003D2600"/>
    <w:rsid w:val="003D2F56"/>
    <w:rsid w:val="003D3021"/>
    <w:rsid w:val="003D313E"/>
    <w:rsid w:val="003D4E74"/>
    <w:rsid w:val="003D4F22"/>
    <w:rsid w:val="003D5845"/>
    <w:rsid w:val="003D7247"/>
    <w:rsid w:val="003D7269"/>
    <w:rsid w:val="003E04FA"/>
    <w:rsid w:val="003E0920"/>
    <w:rsid w:val="003E093F"/>
    <w:rsid w:val="003E168C"/>
    <w:rsid w:val="003E1E03"/>
    <w:rsid w:val="003E3F1B"/>
    <w:rsid w:val="003E47B8"/>
    <w:rsid w:val="003E63F8"/>
    <w:rsid w:val="003E705E"/>
    <w:rsid w:val="003E72F9"/>
    <w:rsid w:val="003E76E0"/>
    <w:rsid w:val="003E7E8E"/>
    <w:rsid w:val="003F1019"/>
    <w:rsid w:val="003F274E"/>
    <w:rsid w:val="003F35D4"/>
    <w:rsid w:val="003F495F"/>
    <w:rsid w:val="003F57BD"/>
    <w:rsid w:val="003F5BC9"/>
    <w:rsid w:val="003F73BF"/>
    <w:rsid w:val="003F7986"/>
    <w:rsid w:val="00401CD9"/>
    <w:rsid w:val="00401D9B"/>
    <w:rsid w:val="004023C1"/>
    <w:rsid w:val="00402709"/>
    <w:rsid w:val="004027B0"/>
    <w:rsid w:val="004031C7"/>
    <w:rsid w:val="00403689"/>
    <w:rsid w:val="004048BD"/>
    <w:rsid w:val="00404B2F"/>
    <w:rsid w:val="00404E81"/>
    <w:rsid w:val="00404F37"/>
    <w:rsid w:val="00405D5F"/>
    <w:rsid w:val="004061C0"/>
    <w:rsid w:val="0040780A"/>
    <w:rsid w:val="004078E5"/>
    <w:rsid w:val="00407946"/>
    <w:rsid w:val="004128A2"/>
    <w:rsid w:val="00412CDA"/>
    <w:rsid w:val="004132D0"/>
    <w:rsid w:val="00413E27"/>
    <w:rsid w:val="00414817"/>
    <w:rsid w:val="00415001"/>
    <w:rsid w:val="00415D21"/>
    <w:rsid w:val="00416331"/>
    <w:rsid w:val="0041668D"/>
    <w:rsid w:val="0041695A"/>
    <w:rsid w:val="00417377"/>
    <w:rsid w:val="0041749F"/>
    <w:rsid w:val="00417766"/>
    <w:rsid w:val="00420422"/>
    <w:rsid w:val="0042079E"/>
    <w:rsid w:val="00420BBF"/>
    <w:rsid w:val="00421623"/>
    <w:rsid w:val="00421D50"/>
    <w:rsid w:val="00422301"/>
    <w:rsid w:val="00422E4E"/>
    <w:rsid w:val="004235FA"/>
    <w:rsid w:val="00423A44"/>
    <w:rsid w:val="00424AF5"/>
    <w:rsid w:val="00424E39"/>
    <w:rsid w:val="004253BB"/>
    <w:rsid w:val="00425751"/>
    <w:rsid w:val="004258B3"/>
    <w:rsid w:val="00425EE3"/>
    <w:rsid w:val="0042792C"/>
    <w:rsid w:val="00427BE4"/>
    <w:rsid w:val="004357B1"/>
    <w:rsid w:val="0043749F"/>
    <w:rsid w:val="00440873"/>
    <w:rsid w:val="0044146B"/>
    <w:rsid w:val="0044146C"/>
    <w:rsid w:val="00442560"/>
    <w:rsid w:val="00442F82"/>
    <w:rsid w:val="004441E3"/>
    <w:rsid w:val="00445543"/>
    <w:rsid w:val="00446FE2"/>
    <w:rsid w:val="0044730B"/>
    <w:rsid w:val="004475A8"/>
    <w:rsid w:val="00447BF5"/>
    <w:rsid w:val="00450037"/>
    <w:rsid w:val="00451223"/>
    <w:rsid w:val="0045135A"/>
    <w:rsid w:val="00452F8E"/>
    <w:rsid w:val="0045328D"/>
    <w:rsid w:val="004549F1"/>
    <w:rsid w:val="00454FBB"/>
    <w:rsid w:val="00456320"/>
    <w:rsid w:val="0045683D"/>
    <w:rsid w:val="00456EB4"/>
    <w:rsid w:val="004618CE"/>
    <w:rsid w:val="004619E2"/>
    <w:rsid w:val="004630E7"/>
    <w:rsid w:val="00463516"/>
    <w:rsid w:val="00463A1D"/>
    <w:rsid w:val="00463DC3"/>
    <w:rsid w:val="0046415B"/>
    <w:rsid w:val="004646D6"/>
    <w:rsid w:val="004648B8"/>
    <w:rsid w:val="00465283"/>
    <w:rsid w:val="004652FE"/>
    <w:rsid w:val="0046716D"/>
    <w:rsid w:val="00467D33"/>
    <w:rsid w:val="00470129"/>
    <w:rsid w:val="00470333"/>
    <w:rsid w:val="00471EF0"/>
    <w:rsid w:val="00472F3B"/>
    <w:rsid w:val="004736E0"/>
    <w:rsid w:val="00473780"/>
    <w:rsid w:val="00473F2D"/>
    <w:rsid w:val="00474DAF"/>
    <w:rsid w:val="00475137"/>
    <w:rsid w:val="0047651C"/>
    <w:rsid w:val="004766FA"/>
    <w:rsid w:val="00476F5D"/>
    <w:rsid w:val="00477DC5"/>
    <w:rsid w:val="004808B4"/>
    <w:rsid w:val="004826EC"/>
    <w:rsid w:val="00484BC1"/>
    <w:rsid w:val="00485433"/>
    <w:rsid w:val="00486427"/>
    <w:rsid w:val="004870C3"/>
    <w:rsid w:val="0049018A"/>
    <w:rsid w:val="0049066D"/>
    <w:rsid w:val="00490979"/>
    <w:rsid w:val="00492D94"/>
    <w:rsid w:val="00493307"/>
    <w:rsid w:val="00494B10"/>
    <w:rsid w:val="00494F65"/>
    <w:rsid w:val="00496E64"/>
    <w:rsid w:val="004A008A"/>
    <w:rsid w:val="004A00D8"/>
    <w:rsid w:val="004A00F2"/>
    <w:rsid w:val="004A02C8"/>
    <w:rsid w:val="004A0D59"/>
    <w:rsid w:val="004A0E99"/>
    <w:rsid w:val="004A12AF"/>
    <w:rsid w:val="004A2AFF"/>
    <w:rsid w:val="004A2BB6"/>
    <w:rsid w:val="004A3C75"/>
    <w:rsid w:val="004A3CF3"/>
    <w:rsid w:val="004A4303"/>
    <w:rsid w:val="004A5670"/>
    <w:rsid w:val="004A64B2"/>
    <w:rsid w:val="004A7524"/>
    <w:rsid w:val="004A78E3"/>
    <w:rsid w:val="004B269B"/>
    <w:rsid w:val="004B3605"/>
    <w:rsid w:val="004B488E"/>
    <w:rsid w:val="004B627C"/>
    <w:rsid w:val="004B663D"/>
    <w:rsid w:val="004B712C"/>
    <w:rsid w:val="004C0215"/>
    <w:rsid w:val="004C0533"/>
    <w:rsid w:val="004C1A18"/>
    <w:rsid w:val="004C1E4F"/>
    <w:rsid w:val="004C2E4B"/>
    <w:rsid w:val="004C3544"/>
    <w:rsid w:val="004C3CA7"/>
    <w:rsid w:val="004C3F15"/>
    <w:rsid w:val="004C4CF3"/>
    <w:rsid w:val="004C566E"/>
    <w:rsid w:val="004C5AE7"/>
    <w:rsid w:val="004C62E2"/>
    <w:rsid w:val="004C6D9B"/>
    <w:rsid w:val="004C7101"/>
    <w:rsid w:val="004D0B6D"/>
    <w:rsid w:val="004D152F"/>
    <w:rsid w:val="004D18B4"/>
    <w:rsid w:val="004D1A38"/>
    <w:rsid w:val="004D1A57"/>
    <w:rsid w:val="004D26E5"/>
    <w:rsid w:val="004D3E8B"/>
    <w:rsid w:val="004D52AE"/>
    <w:rsid w:val="004D5499"/>
    <w:rsid w:val="004D5BCF"/>
    <w:rsid w:val="004D6C21"/>
    <w:rsid w:val="004D6C41"/>
    <w:rsid w:val="004D715C"/>
    <w:rsid w:val="004D7662"/>
    <w:rsid w:val="004E260C"/>
    <w:rsid w:val="004E3154"/>
    <w:rsid w:val="004E3B1B"/>
    <w:rsid w:val="004E3B42"/>
    <w:rsid w:val="004E4E1D"/>
    <w:rsid w:val="004E4E4A"/>
    <w:rsid w:val="004E5D38"/>
    <w:rsid w:val="004E67C0"/>
    <w:rsid w:val="004E6965"/>
    <w:rsid w:val="004E71C7"/>
    <w:rsid w:val="004F0043"/>
    <w:rsid w:val="004F0C2F"/>
    <w:rsid w:val="004F295A"/>
    <w:rsid w:val="004F45C6"/>
    <w:rsid w:val="004F4C2C"/>
    <w:rsid w:val="004F5AF8"/>
    <w:rsid w:val="004F6D08"/>
    <w:rsid w:val="004F7440"/>
    <w:rsid w:val="004F795E"/>
    <w:rsid w:val="00500480"/>
    <w:rsid w:val="0050064B"/>
    <w:rsid w:val="0050161C"/>
    <w:rsid w:val="00502D38"/>
    <w:rsid w:val="00502FE4"/>
    <w:rsid w:val="00504682"/>
    <w:rsid w:val="00504BFC"/>
    <w:rsid w:val="00506BD4"/>
    <w:rsid w:val="0051012D"/>
    <w:rsid w:val="005115D8"/>
    <w:rsid w:val="005117E9"/>
    <w:rsid w:val="00511C7B"/>
    <w:rsid w:val="00512583"/>
    <w:rsid w:val="005143B9"/>
    <w:rsid w:val="005149BE"/>
    <w:rsid w:val="00514D23"/>
    <w:rsid w:val="00514D93"/>
    <w:rsid w:val="00515C80"/>
    <w:rsid w:val="00515F91"/>
    <w:rsid w:val="00517BDA"/>
    <w:rsid w:val="00520B18"/>
    <w:rsid w:val="00520BF1"/>
    <w:rsid w:val="00521545"/>
    <w:rsid w:val="0052185C"/>
    <w:rsid w:val="00522B53"/>
    <w:rsid w:val="00522C95"/>
    <w:rsid w:val="00523C20"/>
    <w:rsid w:val="00525A15"/>
    <w:rsid w:val="00526437"/>
    <w:rsid w:val="00527711"/>
    <w:rsid w:val="00531A1A"/>
    <w:rsid w:val="00531D0D"/>
    <w:rsid w:val="00534D72"/>
    <w:rsid w:val="005360ED"/>
    <w:rsid w:val="00536370"/>
    <w:rsid w:val="0053764F"/>
    <w:rsid w:val="005409DA"/>
    <w:rsid w:val="0054267D"/>
    <w:rsid w:val="00543713"/>
    <w:rsid w:val="00544325"/>
    <w:rsid w:val="00545922"/>
    <w:rsid w:val="005464FA"/>
    <w:rsid w:val="005475E3"/>
    <w:rsid w:val="00547FE6"/>
    <w:rsid w:val="005504FD"/>
    <w:rsid w:val="00550B58"/>
    <w:rsid w:val="005524CD"/>
    <w:rsid w:val="005538FB"/>
    <w:rsid w:val="00554B4C"/>
    <w:rsid w:val="0055579B"/>
    <w:rsid w:val="005569BC"/>
    <w:rsid w:val="00557C1A"/>
    <w:rsid w:val="00560F18"/>
    <w:rsid w:val="00561A50"/>
    <w:rsid w:val="00561F1B"/>
    <w:rsid w:val="00562E0F"/>
    <w:rsid w:val="00563C1F"/>
    <w:rsid w:val="005647B6"/>
    <w:rsid w:val="0056510E"/>
    <w:rsid w:val="005651A4"/>
    <w:rsid w:val="005657CD"/>
    <w:rsid w:val="00565F8A"/>
    <w:rsid w:val="00567E20"/>
    <w:rsid w:val="00571390"/>
    <w:rsid w:val="005715FD"/>
    <w:rsid w:val="00572513"/>
    <w:rsid w:val="005730AF"/>
    <w:rsid w:val="00576CCE"/>
    <w:rsid w:val="00577477"/>
    <w:rsid w:val="00577A85"/>
    <w:rsid w:val="0058080F"/>
    <w:rsid w:val="0058095C"/>
    <w:rsid w:val="00580F01"/>
    <w:rsid w:val="005811FF"/>
    <w:rsid w:val="00581EC0"/>
    <w:rsid w:val="005821D9"/>
    <w:rsid w:val="005828FF"/>
    <w:rsid w:val="00584B0A"/>
    <w:rsid w:val="00584BC7"/>
    <w:rsid w:val="00586065"/>
    <w:rsid w:val="0058700C"/>
    <w:rsid w:val="005910B1"/>
    <w:rsid w:val="0059175E"/>
    <w:rsid w:val="00592057"/>
    <w:rsid w:val="0059238D"/>
    <w:rsid w:val="00592EC9"/>
    <w:rsid w:val="00594874"/>
    <w:rsid w:val="00595C24"/>
    <w:rsid w:val="00596326"/>
    <w:rsid w:val="005965F0"/>
    <w:rsid w:val="005966C0"/>
    <w:rsid w:val="005973BD"/>
    <w:rsid w:val="00597967"/>
    <w:rsid w:val="005A0210"/>
    <w:rsid w:val="005A0BF2"/>
    <w:rsid w:val="005A1A2D"/>
    <w:rsid w:val="005A2DAE"/>
    <w:rsid w:val="005A33E5"/>
    <w:rsid w:val="005A425D"/>
    <w:rsid w:val="005A4855"/>
    <w:rsid w:val="005A620F"/>
    <w:rsid w:val="005A69B8"/>
    <w:rsid w:val="005A783F"/>
    <w:rsid w:val="005B1022"/>
    <w:rsid w:val="005B1CCA"/>
    <w:rsid w:val="005B435B"/>
    <w:rsid w:val="005B60B4"/>
    <w:rsid w:val="005B6CA5"/>
    <w:rsid w:val="005B6F08"/>
    <w:rsid w:val="005B739B"/>
    <w:rsid w:val="005B75EC"/>
    <w:rsid w:val="005C046F"/>
    <w:rsid w:val="005C256C"/>
    <w:rsid w:val="005C269D"/>
    <w:rsid w:val="005C34C7"/>
    <w:rsid w:val="005C42F6"/>
    <w:rsid w:val="005C5F17"/>
    <w:rsid w:val="005C74AD"/>
    <w:rsid w:val="005C7B5A"/>
    <w:rsid w:val="005C7B62"/>
    <w:rsid w:val="005D0577"/>
    <w:rsid w:val="005D07E8"/>
    <w:rsid w:val="005D18E8"/>
    <w:rsid w:val="005D2CAC"/>
    <w:rsid w:val="005D3789"/>
    <w:rsid w:val="005D5710"/>
    <w:rsid w:val="005D6662"/>
    <w:rsid w:val="005D7382"/>
    <w:rsid w:val="005E0D00"/>
    <w:rsid w:val="005E1EF4"/>
    <w:rsid w:val="005E367E"/>
    <w:rsid w:val="005E3A20"/>
    <w:rsid w:val="005E4022"/>
    <w:rsid w:val="005E4297"/>
    <w:rsid w:val="005E4B7F"/>
    <w:rsid w:val="005E5DC3"/>
    <w:rsid w:val="005E650C"/>
    <w:rsid w:val="005E6F6C"/>
    <w:rsid w:val="005E742C"/>
    <w:rsid w:val="005F03FC"/>
    <w:rsid w:val="005F17EC"/>
    <w:rsid w:val="005F325F"/>
    <w:rsid w:val="005F4383"/>
    <w:rsid w:val="005F4D8B"/>
    <w:rsid w:val="005F536B"/>
    <w:rsid w:val="005F685E"/>
    <w:rsid w:val="005F6BB9"/>
    <w:rsid w:val="005F7E9E"/>
    <w:rsid w:val="006011CA"/>
    <w:rsid w:val="006012FB"/>
    <w:rsid w:val="00602588"/>
    <w:rsid w:val="00602861"/>
    <w:rsid w:val="00602F21"/>
    <w:rsid w:val="006044F4"/>
    <w:rsid w:val="006060D8"/>
    <w:rsid w:val="0060641F"/>
    <w:rsid w:val="00606B85"/>
    <w:rsid w:val="006072D0"/>
    <w:rsid w:val="006073E9"/>
    <w:rsid w:val="00607DB6"/>
    <w:rsid w:val="00607EFB"/>
    <w:rsid w:val="006104E5"/>
    <w:rsid w:val="00612E8B"/>
    <w:rsid w:val="00613143"/>
    <w:rsid w:val="0061440E"/>
    <w:rsid w:val="0061452B"/>
    <w:rsid w:val="00614733"/>
    <w:rsid w:val="00614978"/>
    <w:rsid w:val="00614F6B"/>
    <w:rsid w:val="00617946"/>
    <w:rsid w:val="00617C6C"/>
    <w:rsid w:val="00617D7C"/>
    <w:rsid w:val="006207C6"/>
    <w:rsid w:val="006208AB"/>
    <w:rsid w:val="006224BA"/>
    <w:rsid w:val="006231AA"/>
    <w:rsid w:val="006234E9"/>
    <w:rsid w:val="00623635"/>
    <w:rsid w:val="0062426C"/>
    <w:rsid w:val="006253EA"/>
    <w:rsid w:val="006258AB"/>
    <w:rsid w:val="00630D6F"/>
    <w:rsid w:val="0063415D"/>
    <w:rsid w:val="00635C46"/>
    <w:rsid w:val="00635E5D"/>
    <w:rsid w:val="00637427"/>
    <w:rsid w:val="006402C4"/>
    <w:rsid w:val="00640679"/>
    <w:rsid w:val="0064205D"/>
    <w:rsid w:val="00642295"/>
    <w:rsid w:val="0064377D"/>
    <w:rsid w:val="006439A5"/>
    <w:rsid w:val="00643ADC"/>
    <w:rsid w:val="006451E6"/>
    <w:rsid w:val="00647744"/>
    <w:rsid w:val="00647772"/>
    <w:rsid w:val="00650488"/>
    <w:rsid w:val="00650941"/>
    <w:rsid w:val="0065147B"/>
    <w:rsid w:val="0065187A"/>
    <w:rsid w:val="00652017"/>
    <w:rsid w:val="00652BB1"/>
    <w:rsid w:val="00653717"/>
    <w:rsid w:val="00653800"/>
    <w:rsid w:val="00653B6E"/>
    <w:rsid w:val="0065491C"/>
    <w:rsid w:val="00657784"/>
    <w:rsid w:val="00661148"/>
    <w:rsid w:val="00661302"/>
    <w:rsid w:val="0066130B"/>
    <w:rsid w:val="0066165D"/>
    <w:rsid w:val="0066189A"/>
    <w:rsid w:val="00661941"/>
    <w:rsid w:val="00662990"/>
    <w:rsid w:val="00663D36"/>
    <w:rsid w:val="006669D7"/>
    <w:rsid w:val="00667CD3"/>
    <w:rsid w:val="006701F2"/>
    <w:rsid w:val="00671FB0"/>
    <w:rsid w:val="00672968"/>
    <w:rsid w:val="00674601"/>
    <w:rsid w:val="00674794"/>
    <w:rsid w:val="0067479E"/>
    <w:rsid w:val="006773EC"/>
    <w:rsid w:val="0068029A"/>
    <w:rsid w:val="00680E0B"/>
    <w:rsid w:val="0068371D"/>
    <w:rsid w:val="0068375A"/>
    <w:rsid w:val="00684113"/>
    <w:rsid w:val="0068441B"/>
    <w:rsid w:val="006848B7"/>
    <w:rsid w:val="00687940"/>
    <w:rsid w:val="00687C35"/>
    <w:rsid w:val="00690329"/>
    <w:rsid w:val="00690BEE"/>
    <w:rsid w:val="00691E4F"/>
    <w:rsid w:val="006928E3"/>
    <w:rsid w:val="0069339F"/>
    <w:rsid w:val="00693593"/>
    <w:rsid w:val="006935A4"/>
    <w:rsid w:val="00693DE3"/>
    <w:rsid w:val="00695854"/>
    <w:rsid w:val="00695A7B"/>
    <w:rsid w:val="006963AA"/>
    <w:rsid w:val="00696C62"/>
    <w:rsid w:val="006A0118"/>
    <w:rsid w:val="006A0858"/>
    <w:rsid w:val="006A09FF"/>
    <w:rsid w:val="006A119B"/>
    <w:rsid w:val="006A1893"/>
    <w:rsid w:val="006A1A4C"/>
    <w:rsid w:val="006A2631"/>
    <w:rsid w:val="006A30E7"/>
    <w:rsid w:val="006A32B6"/>
    <w:rsid w:val="006A55FA"/>
    <w:rsid w:val="006A673A"/>
    <w:rsid w:val="006A6DE6"/>
    <w:rsid w:val="006A7C33"/>
    <w:rsid w:val="006B0483"/>
    <w:rsid w:val="006B1171"/>
    <w:rsid w:val="006B1322"/>
    <w:rsid w:val="006B1549"/>
    <w:rsid w:val="006B3FF0"/>
    <w:rsid w:val="006B491B"/>
    <w:rsid w:val="006B51C7"/>
    <w:rsid w:val="006B77EB"/>
    <w:rsid w:val="006B7CE8"/>
    <w:rsid w:val="006C0244"/>
    <w:rsid w:val="006C206C"/>
    <w:rsid w:val="006C21FA"/>
    <w:rsid w:val="006C2606"/>
    <w:rsid w:val="006C48E8"/>
    <w:rsid w:val="006C4B5B"/>
    <w:rsid w:val="006C5539"/>
    <w:rsid w:val="006C632A"/>
    <w:rsid w:val="006C6F56"/>
    <w:rsid w:val="006C7DE3"/>
    <w:rsid w:val="006D0A65"/>
    <w:rsid w:val="006D0ACF"/>
    <w:rsid w:val="006D0B54"/>
    <w:rsid w:val="006D132C"/>
    <w:rsid w:val="006D23E5"/>
    <w:rsid w:val="006D2503"/>
    <w:rsid w:val="006D2B71"/>
    <w:rsid w:val="006D541D"/>
    <w:rsid w:val="006D66CE"/>
    <w:rsid w:val="006D77C9"/>
    <w:rsid w:val="006D7C9E"/>
    <w:rsid w:val="006E08F6"/>
    <w:rsid w:val="006E0AA1"/>
    <w:rsid w:val="006E10FD"/>
    <w:rsid w:val="006E15AB"/>
    <w:rsid w:val="006E23A9"/>
    <w:rsid w:val="006E6A25"/>
    <w:rsid w:val="006F0A2D"/>
    <w:rsid w:val="006F1DE5"/>
    <w:rsid w:val="006F39A5"/>
    <w:rsid w:val="006F42F1"/>
    <w:rsid w:val="006F4914"/>
    <w:rsid w:val="006F7090"/>
    <w:rsid w:val="007003A8"/>
    <w:rsid w:val="0070079F"/>
    <w:rsid w:val="00700DDB"/>
    <w:rsid w:val="00701700"/>
    <w:rsid w:val="007023F9"/>
    <w:rsid w:val="007025A6"/>
    <w:rsid w:val="00702F41"/>
    <w:rsid w:val="007038FB"/>
    <w:rsid w:val="00704717"/>
    <w:rsid w:val="007053DD"/>
    <w:rsid w:val="00705EA0"/>
    <w:rsid w:val="00705F17"/>
    <w:rsid w:val="00706647"/>
    <w:rsid w:val="00711AD7"/>
    <w:rsid w:val="00712978"/>
    <w:rsid w:val="0071416C"/>
    <w:rsid w:val="007148C0"/>
    <w:rsid w:val="007153CD"/>
    <w:rsid w:val="00715974"/>
    <w:rsid w:val="00715E94"/>
    <w:rsid w:val="0071653F"/>
    <w:rsid w:val="007170BE"/>
    <w:rsid w:val="007176CC"/>
    <w:rsid w:val="00717A5D"/>
    <w:rsid w:val="00717D28"/>
    <w:rsid w:val="00720E6A"/>
    <w:rsid w:val="0072134A"/>
    <w:rsid w:val="0072183B"/>
    <w:rsid w:val="007222E3"/>
    <w:rsid w:val="007239E4"/>
    <w:rsid w:val="0072408F"/>
    <w:rsid w:val="00724A43"/>
    <w:rsid w:val="00724CF3"/>
    <w:rsid w:val="00726C23"/>
    <w:rsid w:val="00727209"/>
    <w:rsid w:val="00727443"/>
    <w:rsid w:val="00727EB5"/>
    <w:rsid w:val="007305ED"/>
    <w:rsid w:val="00730BA8"/>
    <w:rsid w:val="0073207B"/>
    <w:rsid w:val="007327B5"/>
    <w:rsid w:val="007339C0"/>
    <w:rsid w:val="00733CD5"/>
    <w:rsid w:val="00734240"/>
    <w:rsid w:val="00734C3D"/>
    <w:rsid w:val="00735391"/>
    <w:rsid w:val="007356F1"/>
    <w:rsid w:val="00735A2C"/>
    <w:rsid w:val="007377F6"/>
    <w:rsid w:val="00740539"/>
    <w:rsid w:val="007412DE"/>
    <w:rsid w:val="0074180D"/>
    <w:rsid w:val="0074248A"/>
    <w:rsid w:val="0074310F"/>
    <w:rsid w:val="00744589"/>
    <w:rsid w:val="00745642"/>
    <w:rsid w:val="00745673"/>
    <w:rsid w:val="00746859"/>
    <w:rsid w:val="007468DC"/>
    <w:rsid w:val="00746EE2"/>
    <w:rsid w:val="00750950"/>
    <w:rsid w:val="00750A77"/>
    <w:rsid w:val="00751793"/>
    <w:rsid w:val="00752558"/>
    <w:rsid w:val="007525DB"/>
    <w:rsid w:val="007530FD"/>
    <w:rsid w:val="0075378A"/>
    <w:rsid w:val="00754205"/>
    <w:rsid w:val="0075642A"/>
    <w:rsid w:val="00757D99"/>
    <w:rsid w:val="00757FFA"/>
    <w:rsid w:val="007609C5"/>
    <w:rsid w:val="00760AF1"/>
    <w:rsid w:val="00760B80"/>
    <w:rsid w:val="007610FB"/>
    <w:rsid w:val="00762947"/>
    <w:rsid w:val="00762E21"/>
    <w:rsid w:val="0076318F"/>
    <w:rsid w:val="00764307"/>
    <w:rsid w:val="007649E2"/>
    <w:rsid w:val="007676A0"/>
    <w:rsid w:val="007677D4"/>
    <w:rsid w:val="00771CFF"/>
    <w:rsid w:val="00772E72"/>
    <w:rsid w:val="00773F45"/>
    <w:rsid w:val="0077724C"/>
    <w:rsid w:val="00777DEE"/>
    <w:rsid w:val="00777FF8"/>
    <w:rsid w:val="00780B7A"/>
    <w:rsid w:val="00781275"/>
    <w:rsid w:val="00781292"/>
    <w:rsid w:val="0078175A"/>
    <w:rsid w:val="0078177E"/>
    <w:rsid w:val="00781B7C"/>
    <w:rsid w:val="0078278C"/>
    <w:rsid w:val="00785C6A"/>
    <w:rsid w:val="007861B7"/>
    <w:rsid w:val="00790042"/>
    <w:rsid w:val="00791247"/>
    <w:rsid w:val="00791343"/>
    <w:rsid w:val="00791F17"/>
    <w:rsid w:val="0079273F"/>
    <w:rsid w:val="0079292B"/>
    <w:rsid w:val="00793421"/>
    <w:rsid w:val="007948DB"/>
    <w:rsid w:val="00795438"/>
    <w:rsid w:val="00795FA6"/>
    <w:rsid w:val="007961DB"/>
    <w:rsid w:val="00796323"/>
    <w:rsid w:val="00796BBC"/>
    <w:rsid w:val="00796BF7"/>
    <w:rsid w:val="007A0A52"/>
    <w:rsid w:val="007A2646"/>
    <w:rsid w:val="007A2CDE"/>
    <w:rsid w:val="007A2DC2"/>
    <w:rsid w:val="007A33F4"/>
    <w:rsid w:val="007A3E37"/>
    <w:rsid w:val="007A4DC8"/>
    <w:rsid w:val="007A61D6"/>
    <w:rsid w:val="007A70E5"/>
    <w:rsid w:val="007B0865"/>
    <w:rsid w:val="007B35DE"/>
    <w:rsid w:val="007B3695"/>
    <w:rsid w:val="007B3F2A"/>
    <w:rsid w:val="007B4C06"/>
    <w:rsid w:val="007B4FA1"/>
    <w:rsid w:val="007B651F"/>
    <w:rsid w:val="007B6C19"/>
    <w:rsid w:val="007B73AC"/>
    <w:rsid w:val="007B7F8A"/>
    <w:rsid w:val="007C1452"/>
    <w:rsid w:val="007C1B4C"/>
    <w:rsid w:val="007C20DC"/>
    <w:rsid w:val="007C2958"/>
    <w:rsid w:val="007C2F60"/>
    <w:rsid w:val="007C357C"/>
    <w:rsid w:val="007C3786"/>
    <w:rsid w:val="007C3FB3"/>
    <w:rsid w:val="007C7841"/>
    <w:rsid w:val="007D0413"/>
    <w:rsid w:val="007D10DB"/>
    <w:rsid w:val="007D124B"/>
    <w:rsid w:val="007D1E50"/>
    <w:rsid w:val="007D2028"/>
    <w:rsid w:val="007D32E8"/>
    <w:rsid w:val="007D3919"/>
    <w:rsid w:val="007D39A6"/>
    <w:rsid w:val="007D3A36"/>
    <w:rsid w:val="007D4774"/>
    <w:rsid w:val="007D4872"/>
    <w:rsid w:val="007D5050"/>
    <w:rsid w:val="007D5FE0"/>
    <w:rsid w:val="007D70CF"/>
    <w:rsid w:val="007D788E"/>
    <w:rsid w:val="007E0B51"/>
    <w:rsid w:val="007E0C04"/>
    <w:rsid w:val="007E18DA"/>
    <w:rsid w:val="007E2924"/>
    <w:rsid w:val="007E296E"/>
    <w:rsid w:val="007E2E71"/>
    <w:rsid w:val="007E35AA"/>
    <w:rsid w:val="007E3A90"/>
    <w:rsid w:val="007E3C1E"/>
    <w:rsid w:val="007E4E37"/>
    <w:rsid w:val="007E4F26"/>
    <w:rsid w:val="007E4FBC"/>
    <w:rsid w:val="007E5D1D"/>
    <w:rsid w:val="007E6444"/>
    <w:rsid w:val="007F05A6"/>
    <w:rsid w:val="007F1B4C"/>
    <w:rsid w:val="007F2497"/>
    <w:rsid w:val="007F26B7"/>
    <w:rsid w:val="007F5585"/>
    <w:rsid w:val="007F57B5"/>
    <w:rsid w:val="007F75B8"/>
    <w:rsid w:val="008002C1"/>
    <w:rsid w:val="0080089E"/>
    <w:rsid w:val="00801687"/>
    <w:rsid w:val="00801DEB"/>
    <w:rsid w:val="00803590"/>
    <w:rsid w:val="00804393"/>
    <w:rsid w:val="00804D02"/>
    <w:rsid w:val="00804EEB"/>
    <w:rsid w:val="00805ECC"/>
    <w:rsid w:val="00807B96"/>
    <w:rsid w:val="00807DA6"/>
    <w:rsid w:val="008110CF"/>
    <w:rsid w:val="0081187D"/>
    <w:rsid w:val="00811D56"/>
    <w:rsid w:val="008124BF"/>
    <w:rsid w:val="00813AAC"/>
    <w:rsid w:val="00813D4C"/>
    <w:rsid w:val="00814E98"/>
    <w:rsid w:val="0081532A"/>
    <w:rsid w:val="0081549A"/>
    <w:rsid w:val="0081573D"/>
    <w:rsid w:val="00817230"/>
    <w:rsid w:val="00817FE2"/>
    <w:rsid w:val="00821259"/>
    <w:rsid w:val="00821E8E"/>
    <w:rsid w:val="00823313"/>
    <w:rsid w:val="008246E7"/>
    <w:rsid w:val="0082604A"/>
    <w:rsid w:val="00826E79"/>
    <w:rsid w:val="00827E96"/>
    <w:rsid w:val="00830419"/>
    <w:rsid w:val="0083120D"/>
    <w:rsid w:val="00832006"/>
    <w:rsid w:val="00832080"/>
    <w:rsid w:val="008327EB"/>
    <w:rsid w:val="00832C13"/>
    <w:rsid w:val="008351F2"/>
    <w:rsid w:val="00835516"/>
    <w:rsid w:val="008357C1"/>
    <w:rsid w:val="0083664F"/>
    <w:rsid w:val="00836E00"/>
    <w:rsid w:val="008370B8"/>
    <w:rsid w:val="0083750C"/>
    <w:rsid w:val="0083787E"/>
    <w:rsid w:val="0084000D"/>
    <w:rsid w:val="0084091C"/>
    <w:rsid w:val="00843239"/>
    <w:rsid w:val="008433F6"/>
    <w:rsid w:val="0084391D"/>
    <w:rsid w:val="00843A99"/>
    <w:rsid w:val="008454F0"/>
    <w:rsid w:val="00846173"/>
    <w:rsid w:val="0084648E"/>
    <w:rsid w:val="00846D08"/>
    <w:rsid w:val="0085015D"/>
    <w:rsid w:val="00851B06"/>
    <w:rsid w:val="00852367"/>
    <w:rsid w:val="00852A5A"/>
    <w:rsid w:val="00853837"/>
    <w:rsid w:val="00853B20"/>
    <w:rsid w:val="0085552F"/>
    <w:rsid w:val="00855E24"/>
    <w:rsid w:val="00855F47"/>
    <w:rsid w:val="008572B9"/>
    <w:rsid w:val="008574D6"/>
    <w:rsid w:val="00861628"/>
    <w:rsid w:val="008624A0"/>
    <w:rsid w:val="0086424E"/>
    <w:rsid w:val="008653C4"/>
    <w:rsid w:val="00865F51"/>
    <w:rsid w:val="00866229"/>
    <w:rsid w:val="0086717C"/>
    <w:rsid w:val="00867A45"/>
    <w:rsid w:val="00867CF4"/>
    <w:rsid w:val="008703B5"/>
    <w:rsid w:val="008713F1"/>
    <w:rsid w:val="0087435D"/>
    <w:rsid w:val="008749EE"/>
    <w:rsid w:val="00875284"/>
    <w:rsid w:val="00875800"/>
    <w:rsid w:val="00875D1F"/>
    <w:rsid w:val="00876A97"/>
    <w:rsid w:val="00877B5E"/>
    <w:rsid w:val="008803D9"/>
    <w:rsid w:val="0088092C"/>
    <w:rsid w:val="00881918"/>
    <w:rsid w:val="00883C4F"/>
    <w:rsid w:val="00883E47"/>
    <w:rsid w:val="00884C55"/>
    <w:rsid w:val="00885A44"/>
    <w:rsid w:val="00885B40"/>
    <w:rsid w:val="00885ED4"/>
    <w:rsid w:val="00885EF5"/>
    <w:rsid w:val="00886876"/>
    <w:rsid w:val="00887110"/>
    <w:rsid w:val="00887343"/>
    <w:rsid w:val="00890BEE"/>
    <w:rsid w:val="00890EBB"/>
    <w:rsid w:val="0089132D"/>
    <w:rsid w:val="00891458"/>
    <w:rsid w:val="008917C5"/>
    <w:rsid w:val="008923C3"/>
    <w:rsid w:val="00894E22"/>
    <w:rsid w:val="00894F51"/>
    <w:rsid w:val="008963CE"/>
    <w:rsid w:val="008971B5"/>
    <w:rsid w:val="00897784"/>
    <w:rsid w:val="008A0294"/>
    <w:rsid w:val="008A0AEC"/>
    <w:rsid w:val="008A1344"/>
    <w:rsid w:val="008A16FD"/>
    <w:rsid w:val="008A3313"/>
    <w:rsid w:val="008A36AA"/>
    <w:rsid w:val="008A412F"/>
    <w:rsid w:val="008A467A"/>
    <w:rsid w:val="008A4CF5"/>
    <w:rsid w:val="008A5A56"/>
    <w:rsid w:val="008A5DAF"/>
    <w:rsid w:val="008A6662"/>
    <w:rsid w:val="008A6F98"/>
    <w:rsid w:val="008B0891"/>
    <w:rsid w:val="008B1F88"/>
    <w:rsid w:val="008B2154"/>
    <w:rsid w:val="008B220D"/>
    <w:rsid w:val="008B462E"/>
    <w:rsid w:val="008B54F9"/>
    <w:rsid w:val="008B6A29"/>
    <w:rsid w:val="008B70E9"/>
    <w:rsid w:val="008C0464"/>
    <w:rsid w:val="008C10E0"/>
    <w:rsid w:val="008C1C17"/>
    <w:rsid w:val="008C1FF7"/>
    <w:rsid w:val="008C2137"/>
    <w:rsid w:val="008C2171"/>
    <w:rsid w:val="008C2586"/>
    <w:rsid w:val="008C282F"/>
    <w:rsid w:val="008C380C"/>
    <w:rsid w:val="008C50E8"/>
    <w:rsid w:val="008C71B9"/>
    <w:rsid w:val="008D0497"/>
    <w:rsid w:val="008D2589"/>
    <w:rsid w:val="008D32B6"/>
    <w:rsid w:val="008D3624"/>
    <w:rsid w:val="008D490E"/>
    <w:rsid w:val="008D4F66"/>
    <w:rsid w:val="008D5A7D"/>
    <w:rsid w:val="008E2D9E"/>
    <w:rsid w:val="008E45F8"/>
    <w:rsid w:val="008E4A3A"/>
    <w:rsid w:val="008E7230"/>
    <w:rsid w:val="008E76A4"/>
    <w:rsid w:val="008F1478"/>
    <w:rsid w:val="008F4590"/>
    <w:rsid w:val="008F46B4"/>
    <w:rsid w:val="008F509B"/>
    <w:rsid w:val="008F5F1C"/>
    <w:rsid w:val="008F7221"/>
    <w:rsid w:val="008F7642"/>
    <w:rsid w:val="008F77E4"/>
    <w:rsid w:val="008F7D11"/>
    <w:rsid w:val="008F7E40"/>
    <w:rsid w:val="009010B2"/>
    <w:rsid w:val="009010C6"/>
    <w:rsid w:val="00902903"/>
    <w:rsid w:val="00902E7F"/>
    <w:rsid w:val="0090502B"/>
    <w:rsid w:val="00905903"/>
    <w:rsid w:val="00905D8C"/>
    <w:rsid w:val="00906708"/>
    <w:rsid w:val="0091038F"/>
    <w:rsid w:val="009111AD"/>
    <w:rsid w:val="009114EE"/>
    <w:rsid w:val="0091196D"/>
    <w:rsid w:val="00911DEB"/>
    <w:rsid w:val="00912719"/>
    <w:rsid w:val="00912DBD"/>
    <w:rsid w:val="00912F36"/>
    <w:rsid w:val="0091340F"/>
    <w:rsid w:val="00914190"/>
    <w:rsid w:val="00914585"/>
    <w:rsid w:val="00915106"/>
    <w:rsid w:val="00915451"/>
    <w:rsid w:val="00915B4D"/>
    <w:rsid w:val="00920962"/>
    <w:rsid w:val="009221D6"/>
    <w:rsid w:val="009227B6"/>
    <w:rsid w:val="00922A1E"/>
    <w:rsid w:val="00923975"/>
    <w:rsid w:val="00925FF5"/>
    <w:rsid w:val="00927799"/>
    <w:rsid w:val="009279EE"/>
    <w:rsid w:val="009303D3"/>
    <w:rsid w:val="00931604"/>
    <w:rsid w:val="00933FD1"/>
    <w:rsid w:val="0093548A"/>
    <w:rsid w:val="00935FE4"/>
    <w:rsid w:val="00936C1D"/>
    <w:rsid w:val="009373CC"/>
    <w:rsid w:val="00941B34"/>
    <w:rsid w:val="00942381"/>
    <w:rsid w:val="00942FC3"/>
    <w:rsid w:val="00944896"/>
    <w:rsid w:val="00944BB6"/>
    <w:rsid w:val="00945426"/>
    <w:rsid w:val="00946E93"/>
    <w:rsid w:val="00946FD9"/>
    <w:rsid w:val="0094742B"/>
    <w:rsid w:val="00947DE0"/>
    <w:rsid w:val="009506F2"/>
    <w:rsid w:val="00950C39"/>
    <w:rsid w:val="0095111A"/>
    <w:rsid w:val="009516F2"/>
    <w:rsid w:val="00951E7C"/>
    <w:rsid w:val="00952496"/>
    <w:rsid w:val="00952A19"/>
    <w:rsid w:val="00952AD7"/>
    <w:rsid w:val="00953C6C"/>
    <w:rsid w:val="00953D73"/>
    <w:rsid w:val="0095402D"/>
    <w:rsid w:val="009548FB"/>
    <w:rsid w:val="00955C57"/>
    <w:rsid w:val="00955E25"/>
    <w:rsid w:val="00956FAE"/>
    <w:rsid w:val="00957506"/>
    <w:rsid w:val="009638DE"/>
    <w:rsid w:val="00963EE9"/>
    <w:rsid w:val="0096531D"/>
    <w:rsid w:val="00967C23"/>
    <w:rsid w:val="00971E5D"/>
    <w:rsid w:val="00972C3D"/>
    <w:rsid w:val="00972E75"/>
    <w:rsid w:val="0097315D"/>
    <w:rsid w:val="00974053"/>
    <w:rsid w:val="009751C2"/>
    <w:rsid w:val="0097529A"/>
    <w:rsid w:val="00976EAF"/>
    <w:rsid w:val="009775CD"/>
    <w:rsid w:val="00980097"/>
    <w:rsid w:val="00980783"/>
    <w:rsid w:val="00980F7F"/>
    <w:rsid w:val="00981A41"/>
    <w:rsid w:val="00981D18"/>
    <w:rsid w:val="009829EA"/>
    <w:rsid w:val="009830AA"/>
    <w:rsid w:val="009847B3"/>
    <w:rsid w:val="00984B37"/>
    <w:rsid w:val="00985051"/>
    <w:rsid w:val="009853BD"/>
    <w:rsid w:val="00986337"/>
    <w:rsid w:val="00986C73"/>
    <w:rsid w:val="0098755A"/>
    <w:rsid w:val="009877E8"/>
    <w:rsid w:val="00987D35"/>
    <w:rsid w:val="00987FD4"/>
    <w:rsid w:val="00994301"/>
    <w:rsid w:val="00995009"/>
    <w:rsid w:val="009952B0"/>
    <w:rsid w:val="00996282"/>
    <w:rsid w:val="009A2161"/>
    <w:rsid w:val="009A2684"/>
    <w:rsid w:val="009A2B8B"/>
    <w:rsid w:val="009A43C7"/>
    <w:rsid w:val="009A467A"/>
    <w:rsid w:val="009A4F85"/>
    <w:rsid w:val="009A5BD3"/>
    <w:rsid w:val="009A5C84"/>
    <w:rsid w:val="009A69AF"/>
    <w:rsid w:val="009A7374"/>
    <w:rsid w:val="009B03BE"/>
    <w:rsid w:val="009B0CF3"/>
    <w:rsid w:val="009B0F8E"/>
    <w:rsid w:val="009B269B"/>
    <w:rsid w:val="009B416F"/>
    <w:rsid w:val="009B5594"/>
    <w:rsid w:val="009B5762"/>
    <w:rsid w:val="009B6AE9"/>
    <w:rsid w:val="009B70A8"/>
    <w:rsid w:val="009B73CC"/>
    <w:rsid w:val="009B7787"/>
    <w:rsid w:val="009C1D21"/>
    <w:rsid w:val="009C207C"/>
    <w:rsid w:val="009C2352"/>
    <w:rsid w:val="009C2FB4"/>
    <w:rsid w:val="009C3566"/>
    <w:rsid w:val="009C3CE0"/>
    <w:rsid w:val="009C47DA"/>
    <w:rsid w:val="009C69AA"/>
    <w:rsid w:val="009C6CF3"/>
    <w:rsid w:val="009C6EE1"/>
    <w:rsid w:val="009C7DDE"/>
    <w:rsid w:val="009D0C59"/>
    <w:rsid w:val="009D1011"/>
    <w:rsid w:val="009D1F85"/>
    <w:rsid w:val="009D3C63"/>
    <w:rsid w:val="009D6E0E"/>
    <w:rsid w:val="009D711B"/>
    <w:rsid w:val="009D7EA2"/>
    <w:rsid w:val="009E0801"/>
    <w:rsid w:val="009E0BE9"/>
    <w:rsid w:val="009E1D7E"/>
    <w:rsid w:val="009E445C"/>
    <w:rsid w:val="009E4702"/>
    <w:rsid w:val="009E48FE"/>
    <w:rsid w:val="009E4C2A"/>
    <w:rsid w:val="009E5C35"/>
    <w:rsid w:val="009F1809"/>
    <w:rsid w:val="009F281F"/>
    <w:rsid w:val="009F344F"/>
    <w:rsid w:val="009F5DC8"/>
    <w:rsid w:val="009F5E5D"/>
    <w:rsid w:val="009F6A56"/>
    <w:rsid w:val="009F72B7"/>
    <w:rsid w:val="00A000B2"/>
    <w:rsid w:val="00A0049A"/>
    <w:rsid w:val="00A00DFF"/>
    <w:rsid w:val="00A011C8"/>
    <w:rsid w:val="00A01ABF"/>
    <w:rsid w:val="00A03717"/>
    <w:rsid w:val="00A03792"/>
    <w:rsid w:val="00A03BAD"/>
    <w:rsid w:val="00A04199"/>
    <w:rsid w:val="00A04257"/>
    <w:rsid w:val="00A043A3"/>
    <w:rsid w:val="00A0558F"/>
    <w:rsid w:val="00A06D08"/>
    <w:rsid w:val="00A0739B"/>
    <w:rsid w:val="00A07C66"/>
    <w:rsid w:val="00A10288"/>
    <w:rsid w:val="00A10D1A"/>
    <w:rsid w:val="00A14380"/>
    <w:rsid w:val="00A143DE"/>
    <w:rsid w:val="00A1458B"/>
    <w:rsid w:val="00A147A1"/>
    <w:rsid w:val="00A16302"/>
    <w:rsid w:val="00A175C5"/>
    <w:rsid w:val="00A17759"/>
    <w:rsid w:val="00A17AFB"/>
    <w:rsid w:val="00A201F1"/>
    <w:rsid w:val="00A20D36"/>
    <w:rsid w:val="00A226F0"/>
    <w:rsid w:val="00A23784"/>
    <w:rsid w:val="00A23CBD"/>
    <w:rsid w:val="00A25483"/>
    <w:rsid w:val="00A26086"/>
    <w:rsid w:val="00A261E7"/>
    <w:rsid w:val="00A26559"/>
    <w:rsid w:val="00A26775"/>
    <w:rsid w:val="00A27178"/>
    <w:rsid w:val="00A3022F"/>
    <w:rsid w:val="00A30676"/>
    <w:rsid w:val="00A306EC"/>
    <w:rsid w:val="00A30733"/>
    <w:rsid w:val="00A308DD"/>
    <w:rsid w:val="00A32E92"/>
    <w:rsid w:val="00A33B67"/>
    <w:rsid w:val="00A34277"/>
    <w:rsid w:val="00A342D5"/>
    <w:rsid w:val="00A362B3"/>
    <w:rsid w:val="00A379A8"/>
    <w:rsid w:val="00A412F7"/>
    <w:rsid w:val="00A41F3A"/>
    <w:rsid w:val="00A42204"/>
    <w:rsid w:val="00A42623"/>
    <w:rsid w:val="00A42A10"/>
    <w:rsid w:val="00A434D6"/>
    <w:rsid w:val="00A44AB6"/>
    <w:rsid w:val="00A4510D"/>
    <w:rsid w:val="00A4515A"/>
    <w:rsid w:val="00A45BA6"/>
    <w:rsid w:val="00A45F03"/>
    <w:rsid w:val="00A45FAA"/>
    <w:rsid w:val="00A46B5A"/>
    <w:rsid w:val="00A46E8F"/>
    <w:rsid w:val="00A47117"/>
    <w:rsid w:val="00A47A90"/>
    <w:rsid w:val="00A503C3"/>
    <w:rsid w:val="00A509E1"/>
    <w:rsid w:val="00A50A39"/>
    <w:rsid w:val="00A513C6"/>
    <w:rsid w:val="00A51564"/>
    <w:rsid w:val="00A51767"/>
    <w:rsid w:val="00A53298"/>
    <w:rsid w:val="00A543C1"/>
    <w:rsid w:val="00A55381"/>
    <w:rsid w:val="00A564D9"/>
    <w:rsid w:val="00A567D9"/>
    <w:rsid w:val="00A5784E"/>
    <w:rsid w:val="00A57C09"/>
    <w:rsid w:val="00A60115"/>
    <w:rsid w:val="00A60D21"/>
    <w:rsid w:val="00A6106F"/>
    <w:rsid w:val="00A62535"/>
    <w:rsid w:val="00A63A55"/>
    <w:rsid w:val="00A641F3"/>
    <w:rsid w:val="00A644E7"/>
    <w:rsid w:val="00A64B41"/>
    <w:rsid w:val="00A661D0"/>
    <w:rsid w:val="00A6677C"/>
    <w:rsid w:val="00A7172B"/>
    <w:rsid w:val="00A71789"/>
    <w:rsid w:val="00A719C4"/>
    <w:rsid w:val="00A72DA4"/>
    <w:rsid w:val="00A756A9"/>
    <w:rsid w:val="00A75B4B"/>
    <w:rsid w:val="00A76B07"/>
    <w:rsid w:val="00A77327"/>
    <w:rsid w:val="00A80709"/>
    <w:rsid w:val="00A8194F"/>
    <w:rsid w:val="00A81C4E"/>
    <w:rsid w:val="00A81D70"/>
    <w:rsid w:val="00A823F0"/>
    <w:rsid w:val="00A82F73"/>
    <w:rsid w:val="00A84C70"/>
    <w:rsid w:val="00A85224"/>
    <w:rsid w:val="00A862EA"/>
    <w:rsid w:val="00A86E57"/>
    <w:rsid w:val="00A90363"/>
    <w:rsid w:val="00A91776"/>
    <w:rsid w:val="00A9257A"/>
    <w:rsid w:val="00A93C48"/>
    <w:rsid w:val="00A93EBF"/>
    <w:rsid w:val="00A94381"/>
    <w:rsid w:val="00A952F4"/>
    <w:rsid w:val="00A95EFE"/>
    <w:rsid w:val="00A96173"/>
    <w:rsid w:val="00A96BD9"/>
    <w:rsid w:val="00A97615"/>
    <w:rsid w:val="00AA34B1"/>
    <w:rsid w:val="00AA65BD"/>
    <w:rsid w:val="00AA7B00"/>
    <w:rsid w:val="00AB00FB"/>
    <w:rsid w:val="00AB096F"/>
    <w:rsid w:val="00AB189A"/>
    <w:rsid w:val="00AB3C26"/>
    <w:rsid w:val="00AB428E"/>
    <w:rsid w:val="00AB4CCF"/>
    <w:rsid w:val="00AB4EB3"/>
    <w:rsid w:val="00AB565A"/>
    <w:rsid w:val="00AB5D86"/>
    <w:rsid w:val="00AC1C24"/>
    <w:rsid w:val="00AC2640"/>
    <w:rsid w:val="00AC26AF"/>
    <w:rsid w:val="00AC2E9D"/>
    <w:rsid w:val="00AC323B"/>
    <w:rsid w:val="00AC402E"/>
    <w:rsid w:val="00AC5431"/>
    <w:rsid w:val="00AC65F4"/>
    <w:rsid w:val="00AC6D5F"/>
    <w:rsid w:val="00AC6EF6"/>
    <w:rsid w:val="00AD0C9D"/>
    <w:rsid w:val="00AD1052"/>
    <w:rsid w:val="00AD21A2"/>
    <w:rsid w:val="00AD33D9"/>
    <w:rsid w:val="00AD6A7F"/>
    <w:rsid w:val="00AE1EA5"/>
    <w:rsid w:val="00AE2808"/>
    <w:rsid w:val="00AE39E0"/>
    <w:rsid w:val="00AE524E"/>
    <w:rsid w:val="00AE54E3"/>
    <w:rsid w:val="00AE5A87"/>
    <w:rsid w:val="00AE5CF2"/>
    <w:rsid w:val="00AE5E61"/>
    <w:rsid w:val="00AE5F56"/>
    <w:rsid w:val="00AE5FAC"/>
    <w:rsid w:val="00AE72BE"/>
    <w:rsid w:val="00AE795C"/>
    <w:rsid w:val="00AE7D61"/>
    <w:rsid w:val="00AF11FE"/>
    <w:rsid w:val="00AF216F"/>
    <w:rsid w:val="00AF36AD"/>
    <w:rsid w:val="00AF3AC9"/>
    <w:rsid w:val="00AF4995"/>
    <w:rsid w:val="00AF4C75"/>
    <w:rsid w:val="00AF52E0"/>
    <w:rsid w:val="00AF5A19"/>
    <w:rsid w:val="00AF5C64"/>
    <w:rsid w:val="00AF646C"/>
    <w:rsid w:val="00AF6B5D"/>
    <w:rsid w:val="00AF6B6E"/>
    <w:rsid w:val="00AF6D4D"/>
    <w:rsid w:val="00AF755C"/>
    <w:rsid w:val="00AF762B"/>
    <w:rsid w:val="00AF780F"/>
    <w:rsid w:val="00B004DB"/>
    <w:rsid w:val="00B01287"/>
    <w:rsid w:val="00B014FA"/>
    <w:rsid w:val="00B01B1F"/>
    <w:rsid w:val="00B02285"/>
    <w:rsid w:val="00B02528"/>
    <w:rsid w:val="00B025F7"/>
    <w:rsid w:val="00B03ED4"/>
    <w:rsid w:val="00B060CD"/>
    <w:rsid w:val="00B063C2"/>
    <w:rsid w:val="00B0753E"/>
    <w:rsid w:val="00B07F29"/>
    <w:rsid w:val="00B10228"/>
    <w:rsid w:val="00B13197"/>
    <w:rsid w:val="00B1388A"/>
    <w:rsid w:val="00B13D89"/>
    <w:rsid w:val="00B13DC6"/>
    <w:rsid w:val="00B14FA2"/>
    <w:rsid w:val="00B15575"/>
    <w:rsid w:val="00B15DF5"/>
    <w:rsid w:val="00B1696B"/>
    <w:rsid w:val="00B16C1F"/>
    <w:rsid w:val="00B17ABF"/>
    <w:rsid w:val="00B17FB2"/>
    <w:rsid w:val="00B200B8"/>
    <w:rsid w:val="00B206A2"/>
    <w:rsid w:val="00B208A1"/>
    <w:rsid w:val="00B20CFA"/>
    <w:rsid w:val="00B21391"/>
    <w:rsid w:val="00B21CB6"/>
    <w:rsid w:val="00B21D51"/>
    <w:rsid w:val="00B23252"/>
    <w:rsid w:val="00B23DDB"/>
    <w:rsid w:val="00B24676"/>
    <w:rsid w:val="00B248EE"/>
    <w:rsid w:val="00B24973"/>
    <w:rsid w:val="00B25094"/>
    <w:rsid w:val="00B25EF6"/>
    <w:rsid w:val="00B26743"/>
    <w:rsid w:val="00B3167C"/>
    <w:rsid w:val="00B33DC7"/>
    <w:rsid w:val="00B33FC8"/>
    <w:rsid w:val="00B34731"/>
    <w:rsid w:val="00B35EB1"/>
    <w:rsid w:val="00B364EE"/>
    <w:rsid w:val="00B37A1A"/>
    <w:rsid w:val="00B404A6"/>
    <w:rsid w:val="00B4167B"/>
    <w:rsid w:val="00B4170D"/>
    <w:rsid w:val="00B42FFF"/>
    <w:rsid w:val="00B43E7D"/>
    <w:rsid w:val="00B4480B"/>
    <w:rsid w:val="00B44B63"/>
    <w:rsid w:val="00B44C02"/>
    <w:rsid w:val="00B50688"/>
    <w:rsid w:val="00B51051"/>
    <w:rsid w:val="00B532D8"/>
    <w:rsid w:val="00B54F00"/>
    <w:rsid w:val="00B575D8"/>
    <w:rsid w:val="00B605F6"/>
    <w:rsid w:val="00B608D1"/>
    <w:rsid w:val="00B608DF"/>
    <w:rsid w:val="00B60BED"/>
    <w:rsid w:val="00B61A5D"/>
    <w:rsid w:val="00B621F8"/>
    <w:rsid w:val="00B629E4"/>
    <w:rsid w:val="00B63BD1"/>
    <w:rsid w:val="00B63FB8"/>
    <w:rsid w:val="00B65C3A"/>
    <w:rsid w:val="00B67D4C"/>
    <w:rsid w:val="00B70026"/>
    <w:rsid w:val="00B70899"/>
    <w:rsid w:val="00B70BAD"/>
    <w:rsid w:val="00B7134C"/>
    <w:rsid w:val="00B7149A"/>
    <w:rsid w:val="00B716E6"/>
    <w:rsid w:val="00B717D3"/>
    <w:rsid w:val="00B71F6A"/>
    <w:rsid w:val="00B72010"/>
    <w:rsid w:val="00B72A69"/>
    <w:rsid w:val="00B7616A"/>
    <w:rsid w:val="00B76428"/>
    <w:rsid w:val="00B7702C"/>
    <w:rsid w:val="00B77F8D"/>
    <w:rsid w:val="00B8060E"/>
    <w:rsid w:val="00B8077A"/>
    <w:rsid w:val="00B8129A"/>
    <w:rsid w:val="00B81D1B"/>
    <w:rsid w:val="00B83491"/>
    <w:rsid w:val="00B84084"/>
    <w:rsid w:val="00B85578"/>
    <w:rsid w:val="00B862B6"/>
    <w:rsid w:val="00B86394"/>
    <w:rsid w:val="00B86D86"/>
    <w:rsid w:val="00B87642"/>
    <w:rsid w:val="00B87FD6"/>
    <w:rsid w:val="00B90429"/>
    <w:rsid w:val="00B92541"/>
    <w:rsid w:val="00B93539"/>
    <w:rsid w:val="00B939B7"/>
    <w:rsid w:val="00B93B59"/>
    <w:rsid w:val="00B93FDB"/>
    <w:rsid w:val="00B94573"/>
    <w:rsid w:val="00B9511B"/>
    <w:rsid w:val="00B95F9B"/>
    <w:rsid w:val="00B9629A"/>
    <w:rsid w:val="00B962D9"/>
    <w:rsid w:val="00B963CB"/>
    <w:rsid w:val="00B96511"/>
    <w:rsid w:val="00B969AA"/>
    <w:rsid w:val="00B969BC"/>
    <w:rsid w:val="00B96C61"/>
    <w:rsid w:val="00BA0792"/>
    <w:rsid w:val="00BA0EF0"/>
    <w:rsid w:val="00BA0F8B"/>
    <w:rsid w:val="00BA1751"/>
    <w:rsid w:val="00BA25FB"/>
    <w:rsid w:val="00BA5730"/>
    <w:rsid w:val="00BA5D16"/>
    <w:rsid w:val="00BA7164"/>
    <w:rsid w:val="00BA7EB0"/>
    <w:rsid w:val="00BB0A14"/>
    <w:rsid w:val="00BB10CE"/>
    <w:rsid w:val="00BB1113"/>
    <w:rsid w:val="00BB123A"/>
    <w:rsid w:val="00BB1A57"/>
    <w:rsid w:val="00BB2E45"/>
    <w:rsid w:val="00BB3ABF"/>
    <w:rsid w:val="00BB57D5"/>
    <w:rsid w:val="00BB5A78"/>
    <w:rsid w:val="00BB6A60"/>
    <w:rsid w:val="00BB7153"/>
    <w:rsid w:val="00BC0691"/>
    <w:rsid w:val="00BC0BC9"/>
    <w:rsid w:val="00BC19B6"/>
    <w:rsid w:val="00BC2174"/>
    <w:rsid w:val="00BC29FF"/>
    <w:rsid w:val="00BC301D"/>
    <w:rsid w:val="00BC30F8"/>
    <w:rsid w:val="00BC36A6"/>
    <w:rsid w:val="00BC37B6"/>
    <w:rsid w:val="00BC3EDA"/>
    <w:rsid w:val="00BC4972"/>
    <w:rsid w:val="00BC49CE"/>
    <w:rsid w:val="00BC5803"/>
    <w:rsid w:val="00BC5BEB"/>
    <w:rsid w:val="00BC6D5B"/>
    <w:rsid w:val="00BC70BA"/>
    <w:rsid w:val="00BC72BB"/>
    <w:rsid w:val="00BC7802"/>
    <w:rsid w:val="00BD0776"/>
    <w:rsid w:val="00BD45E4"/>
    <w:rsid w:val="00BD5B01"/>
    <w:rsid w:val="00BD6084"/>
    <w:rsid w:val="00BD6F9F"/>
    <w:rsid w:val="00BE0516"/>
    <w:rsid w:val="00BE1D07"/>
    <w:rsid w:val="00BE39AD"/>
    <w:rsid w:val="00BE3AC9"/>
    <w:rsid w:val="00BE3DC0"/>
    <w:rsid w:val="00BE5E17"/>
    <w:rsid w:val="00BE5EC5"/>
    <w:rsid w:val="00BE6C5C"/>
    <w:rsid w:val="00BE74E5"/>
    <w:rsid w:val="00BE7AAF"/>
    <w:rsid w:val="00BF0728"/>
    <w:rsid w:val="00BF1574"/>
    <w:rsid w:val="00BF25CF"/>
    <w:rsid w:val="00BF2DA6"/>
    <w:rsid w:val="00BF3B03"/>
    <w:rsid w:val="00BF4BD2"/>
    <w:rsid w:val="00BF5638"/>
    <w:rsid w:val="00BF578A"/>
    <w:rsid w:val="00BF62FA"/>
    <w:rsid w:val="00BF6AF8"/>
    <w:rsid w:val="00BF76F9"/>
    <w:rsid w:val="00C00A13"/>
    <w:rsid w:val="00C01962"/>
    <w:rsid w:val="00C01C35"/>
    <w:rsid w:val="00C02198"/>
    <w:rsid w:val="00C03E03"/>
    <w:rsid w:val="00C03F2A"/>
    <w:rsid w:val="00C078CC"/>
    <w:rsid w:val="00C12141"/>
    <w:rsid w:val="00C133FC"/>
    <w:rsid w:val="00C13983"/>
    <w:rsid w:val="00C13AA8"/>
    <w:rsid w:val="00C1518B"/>
    <w:rsid w:val="00C15B8E"/>
    <w:rsid w:val="00C16278"/>
    <w:rsid w:val="00C21E87"/>
    <w:rsid w:val="00C23CEF"/>
    <w:rsid w:val="00C24086"/>
    <w:rsid w:val="00C2440B"/>
    <w:rsid w:val="00C2489E"/>
    <w:rsid w:val="00C24E27"/>
    <w:rsid w:val="00C24EB0"/>
    <w:rsid w:val="00C26068"/>
    <w:rsid w:val="00C265BF"/>
    <w:rsid w:val="00C279A7"/>
    <w:rsid w:val="00C27FB8"/>
    <w:rsid w:val="00C30B67"/>
    <w:rsid w:val="00C31852"/>
    <w:rsid w:val="00C323FA"/>
    <w:rsid w:val="00C33C21"/>
    <w:rsid w:val="00C340ED"/>
    <w:rsid w:val="00C34121"/>
    <w:rsid w:val="00C34226"/>
    <w:rsid w:val="00C35647"/>
    <w:rsid w:val="00C35CDE"/>
    <w:rsid w:val="00C35D2B"/>
    <w:rsid w:val="00C36A53"/>
    <w:rsid w:val="00C37448"/>
    <w:rsid w:val="00C37943"/>
    <w:rsid w:val="00C4027F"/>
    <w:rsid w:val="00C40516"/>
    <w:rsid w:val="00C417DC"/>
    <w:rsid w:val="00C41C2D"/>
    <w:rsid w:val="00C422D9"/>
    <w:rsid w:val="00C426F7"/>
    <w:rsid w:val="00C437DA"/>
    <w:rsid w:val="00C45C96"/>
    <w:rsid w:val="00C5091E"/>
    <w:rsid w:val="00C50FA8"/>
    <w:rsid w:val="00C51E55"/>
    <w:rsid w:val="00C5260E"/>
    <w:rsid w:val="00C52B35"/>
    <w:rsid w:val="00C538DB"/>
    <w:rsid w:val="00C55684"/>
    <w:rsid w:val="00C56B7A"/>
    <w:rsid w:val="00C60979"/>
    <w:rsid w:val="00C60BA6"/>
    <w:rsid w:val="00C60BB3"/>
    <w:rsid w:val="00C60E27"/>
    <w:rsid w:val="00C62283"/>
    <w:rsid w:val="00C627E2"/>
    <w:rsid w:val="00C6393A"/>
    <w:rsid w:val="00C64B5A"/>
    <w:rsid w:val="00C65611"/>
    <w:rsid w:val="00C70895"/>
    <w:rsid w:val="00C70E9A"/>
    <w:rsid w:val="00C71B7F"/>
    <w:rsid w:val="00C73B0A"/>
    <w:rsid w:val="00C74AAB"/>
    <w:rsid w:val="00C758D4"/>
    <w:rsid w:val="00C7664B"/>
    <w:rsid w:val="00C77F33"/>
    <w:rsid w:val="00C77FF9"/>
    <w:rsid w:val="00C80D12"/>
    <w:rsid w:val="00C823EE"/>
    <w:rsid w:val="00C82A05"/>
    <w:rsid w:val="00C835FC"/>
    <w:rsid w:val="00C83A78"/>
    <w:rsid w:val="00C85446"/>
    <w:rsid w:val="00C90A25"/>
    <w:rsid w:val="00C90A30"/>
    <w:rsid w:val="00C91572"/>
    <w:rsid w:val="00C91B99"/>
    <w:rsid w:val="00C931AE"/>
    <w:rsid w:val="00C93C17"/>
    <w:rsid w:val="00C95A26"/>
    <w:rsid w:val="00C95E6D"/>
    <w:rsid w:val="00C96095"/>
    <w:rsid w:val="00C9723E"/>
    <w:rsid w:val="00C974DD"/>
    <w:rsid w:val="00CA0682"/>
    <w:rsid w:val="00CA0C37"/>
    <w:rsid w:val="00CA1129"/>
    <w:rsid w:val="00CA19D2"/>
    <w:rsid w:val="00CA1D1C"/>
    <w:rsid w:val="00CA25AA"/>
    <w:rsid w:val="00CA2C99"/>
    <w:rsid w:val="00CA35BC"/>
    <w:rsid w:val="00CA37B0"/>
    <w:rsid w:val="00CA4D5A"/>
    <w:rsid w:val="00CA4DFF"/>
    <w:rsid w:val="00CA593F"/>
    <w:rsid w:val="00CA7306"/>
    <w:rsid w:val="00CA7F29"/>
    <w:rsid w:val="00CB0014"/>
    <w:rsid w:val="00CB0A6A"/>
    <w:rsid w:val="00CB1114"/>
    <w:rsid w:val="00CB1A6C"/>
    <w:rsid w:val="00CB1C2F"/>
    <w:rsid w:val="00CB1CBA"/>
    <w:rsid w:val="00CB2E38"/>
    <w:rsid w:val="00CB4829"/>
    <w:rsid w:val="00CB6930"/>
    <w:rsid w:val="00CB6B89"/>
    <w:rsid w:val="00CB77D0"/>
    <w:rsid w:val="00CB7B18"/>
    <w:rsid w:val="00CC2ABE"/>
    <w:rsid w:val="00CC312D"/>
    <w:rsid w:val="00CC357E"/>
    <w:rsid w:val="00CC3A6E"/>
    <w:rsid w:val="00CC410C"/>
    <w:rsid w:val="00CC419D"/>
    <w:rsid w:val="00CC4589"/>
    <w:rsid w:val="00CC49BC"/>
    <w:rsid w:val="00CC585E"/>
    <w:rsid w:val="00CC665C"/>
    <w:rsid w:val="00CC7FCF"/>
    <w:rsid w:val="00CD0E8A"/>
    <w:rsid w:val="00CD157B"/>
    <w:rsid w:val="00CD2C1E"/>
    <w:rsid w:val="00CD4858"/>
    <w:rsid w:val="00CD4AE8"/>
    <w:rsid w:val="00CD504C"/>
    <w:rsid w:val="00CD5593"/>
    <w:rsid w:val="00CD78CB"/>
    <w:rsid w:val="00CE06F5"/>
    <w:rsid w:val="00CE07C7"/>
    <w:rsid w:val="00CE0F1E"/>
    <w:rsid w:val="00CE14CA"/>
    <w:rsid w:val="00CE3303"/>
    <w:rsid w:val="00CE37A4"/>
    <w:rsid w:val="00CE3F7D"/>
    <w:rsid w:val="00CE4FFC"/>
    <w:rsid w:val="00CE51B5"/>
    <w:rsid w:val="00CE5341"/>
    <w:rsid w:val="00CE53CB"/>
    <w:rsid w:val="00CE6542"/>
    <w:rsid w:val="00CE76A1"/>
    <w:rsid w:val="00CF3EE8"/>
    <w:rsid w:val="00CF5C40"/>
    <w:rsid w:val="00CF5ED9"/>
    <w:rsid w:val="00CF65E2"/>
    <w:rsid w:val="00CF67BD"/>
    <w:rsid w:val="00CF6BAD"/>
    <w:rsid w:val="00D005C5"/>
    <w:rsid w:val="00D01A68"/>
    <w:rsid w:val="00D0253A"/>
    <w:rsid w:val="00D02709"/>
    <w:rsid w:val="00D03232"/>
    <w:rsid w:val="00D03E87"/>
    <w:rsid w:val="00D0519D"/>
    <w:rsid w:val="00D0552F"/>
    <w:rsid w:val="00D0697B"/>
    <w:rsid w:val="00D06D34"/>
    <w:rsid w:val="00D06DD8"/>
    <w:rsid w:val="00D07203"/>
    <w:rsid w:val="00D1079F"/>
    <w:rsid w:val="00D1088E"/>
    <w:rsid w:val="00D10CB3"/>
    <w:rsid w:val="00D10CBC"/>
    <w:rsid w:val="00D1150E"/>
    <w:rsid w:val="00D12523"/>
    <w:rsid w:val="00D126EA"/>
    <w:rsid w:val="00D14E05"/>
    <w:rsid w:val="00D1619A"/>
    <w:rsid w:val="00D16869"/>
    <w:rsid w:val="00D16960"/>
    <w:rsid w:val="00D171B7"/>
    <w:rsid w:val="00D217BA"/>
    <w:rsid w:val="00D219AC"/>
    <w:rsid w:val="00D21B98"/>
    <w:rsid w:val="00D21B9D"/>
    <w:rsid w:val="00D23370"/>
    <w:rsid w:val="00D24394"/>
    <w:rsid w:val="00D24449"/>
    <w:rsid w:val="00D245A8"/>
    <w:rsid w:val="00D25B2A"/>
    <w:rsid w:val="00D27F99"/>
    <w:rsid w:val="00D30908"/>
    <w:rsid w:val="00D30EDF"/>
    <w:rsid w:val="00D310F3"/>
    <w:rsid w:val="00D31471"/>
    <w:rsid w:val="00D318A5"/>
    <w:rsid w:val="00D33029"/>
    <w:rsid w:val="00D335D6"/>
    <w:rsid w:val="00D34799"/>
    <w:rsid w:val="00D36133"/>
    <w:rsid w:val="00D36649"/>
    <w:rsid w:val="00D402E3"/>
    <w:rsid w:val="00D40655"/>
    <w:rsid w:val="00D408ED"/>
    <w:rsid w:val="00D41F27"/>
    <w:rsid w:val="00D4291C"/>
    <w:rsid w:val="00D43B71"/>
    <w:rsid w:val="00D442CD"/>
    <w:rsid w:val="00D45AD2"/>
    <w:rsid w:val="00D472E0"/>
    <w:rsid w:val="00D51543"/>
    <w:rsid w:val="00D515A4"/>
    <w:rsid w:val="00D5277A"/>
    <w:rsid w:val="00D52B0A"/>
    <w:rsid w:val="00D52EA7"/>
    <w:rsid w:val="00D53A98"/>
    <w:rsid w:val="00D548DC"/>
    <w:rsid w:val="00D55102"/>
    <w:rsid w:val="00D56EC0"/>
    <w:rsid w:val="00D604B5"/>
    <w:rsid w:val="00D605A3"/>
    <w:rsid w:val="00D60B70"/>
    <w:rsid w:val="00D60C2D"/>
    <w:rsid w:val="00D61196"/>
    <w:rsid w:val="00D63049"/>
    <w:rsid w:val="00D63BD8"/>
    <w:rsid w:val="00D63DD5"/>
    <w:rsid w:val="00D645E5"/>
    <w:rsid w:val="00D64CA3"/>
    <w:rsid w:val="00D653E6"/>
    <w:rsid w:val="00D66DC5"/>
    <w:rsid w:val="00D66E34"/>
    <w:rsid w:val="00D671C2"/>
    <w:rsid w:val="00D7112D"/>
    <w:rsid w:val="00D71420"/>
    <w:rsid w:val="00D72068"/>
    <w:rsid w:val="00D73657"/>
    <w:rsid w:val="00D74924"/>
    <w:rsid w:val="00D7554D"/>
    <w:rsid w:val="00D75B0B"/>
    <w:rsid w:val="00D75C3C"/>
    <w:rsid w:val="00D76385"/>
    <w:rsid w:val="00D76736"/>
    <w:rsid w:val="00D802F9"/>
    <w:rsid w:val="00D80DA4"/>
    <w:rsid w:val="00D80F38"/>
    <w:rsid w:val="00D824B4"/>
    <w:rsid w:val="00D841A4"/>
    <w:rsid w:val="00D8467D"/>
    <w:rsid w:val="00D85BF9"/>
    <w:rsid w:val="00D870FD"/>
    <w:rsid w:val="00D9007D"/>
    <w:rsid w:val="00D9233E"/>
    <w:rsid w:val="00D93544"/>
    <w:rsid w:val="00D961E8"/>
    <w:rsid w:val="00DA0F68"/>
    <w:rsid w:val="00DA217B"/>
    <w:rsid w:val="00DA2518"/>
    <w:rsid w:val="00DA280C"/>
    <w:rsid w:val="00DA3A01"/>
    <w:rsid w:val="00DA3E58"/>
    <w:rsid w:val="00DA426C"/>
    <w:rsid w:val="00DA49F9"/>
    <w:rsid w:val="00DA4CEB"/>
    <w:rsid w:val="00DA5978"/>
    <w:rsid w:val="00DA5D9C"/>
    <w:rsid w:val="00DA747C"/>
    <w:rsid w:val="00DA7525"/>
    <w:rsid w:val="00DB0239"/>
    <w:rsid w:val="00DB0636"/>
    <w:rsid w:val="00DB08BC"/>
    <w:rsid w:val="00DB0D4D"/>
    <w:rsid w:val="00DB1C81"/>
    <w:rsid w:val="00DB1C9A"/>
    <w:rsid w:val="00DB1DF0"/>
    <w:rsid w:val="00DB2151"/>
    <w:rsid w:val="00DB27AF"/>
    <w:rsid w:val="00DB3D47"/>
    <w:rsid w:val="00DB49E8"/>
    <w:rsid w:val="00DB5773"/>
    <w:rsid w:val="00DB5E8B"/>
    <w:rsid w:val="00DB6015"/>
    <w:rsid w:val="00DB72E5"/>
    <w:rsid w:val="00DB7C3F"/>
    <w:rsid w:val="00DC1108"/>
    <w:rsid w:val="00DC133D"/>
    <w:rsid w:val="00DC2CD9"/>
    <w:rsid w:val="00DC3698"/>
    <w:rsid w:val="00DC48D4"/>
    <w:rsid w:val="00DC4C44"/>
    <w:rsid w:val="00DC4E6B"/>
    <w:rsid w:val="00DC5486"/>
    <w:rsid w:val="00DC5830"/>
    <w:rsid w:val="00DC6048"/>
    <w:rsid w:val="00DC6210"/>
    <w:rsid w:val="00DC7DFD"/>
    <w:rsid w:val="00DD0446"/>
    <w:rsid w:val="00DD074C"/>
    <w:rsid w:val="00DD16B8"/>
    <w:rsid w:val="00DD1DB7"/>
    <w:rsid w:val="00DD2C30"/>
    <w:rsid w:val="00DD3182"/>
    <w:rsid w:val="00DD32B8"/>
    <w:rsid w:val="00DD47CB"/>
    <w:rsid w:val="00DD49C5"/>
    <w:rsid w:val="00DD5B9E"/>
    <w:rsid w:val="00DD6365"/>
    <w:rsid w:val="00DD75F9"/>
    <w:rsid w:val="00DD7BDD"/>
    <w:rsid w:val="00DE006D"/>
    <w:rsid w:val="00DE0D1B"/>
    <w:rsid w:val="00DE1481"/>
    <w:rsid w:val="00DE25D6"/>
    <w:rsid w:val="00DE4BBB"/>
    <w:rsid w:val="00DE504E"/>
    <w:rsid w:val="00DE5147"/>
    <w:rsid w:val="00DE639D"/>
    <w:rsid w:val="00DE71F8"/>
    <w:rsid w:val="00DF1761"/>
    <w:rsid w:val="00DF1C76"/>
    <w:rsid w:val="00DF22DE"/>
    <w:rsid w:val="00DF3270"/>
    <w:rsid w:val="00DF3A1B"/>
    <w:rsid w:val="00DF5601"/>
    <w:rsid w:val="00DF641F"/>
    <w:rsid w:val="00DF6E5D"/>
    <w:rsid w:val="00DF77A2"/>
    <w:rsid w:val="00DF7D76"/>
    <w:rsid w:val="00E000F0"/>
    <w:rsid w:val="00E01402"/>
    <w:rsid w:val="00E01F88"/>
    <w:rsid w:val="00E02C28"/>
    <w:rsid w:val="00E041B9"/>
    <w:rsid w:val="00E05532"/>
    <w:rsid w:val="00E05B00"/>
    <w:rsid w:val="00E05E42"/>
    <w:rsid w:val="00E06738"/>
    <w:rsid w:val="00E0685F"/>
    <w:rsid w:val="00E07BB4"/>
    <w:rsid w:val="00E124F5"/>
    <w:rsid w:val="00E125EB"/>
    <w:rsid w:val="00E143FB"/>
    <w:rsid w:val="00E14AB1"/>
    <w:rsid w:val="00E15541"/>
    <w:rsid w:val="00E16334"/>
    <w:rsid w:val="00E16EA5"/>
    <w:rsid w:val="00E17B87"/>
    <w:rsid w:val="00E20158"/>
    <w:rsid w:val="00E21EAB"/>
    <w:rsid w:val="00E2238A"/>
    <w:rsid w:val="00E2299A"/>
    <w:rsid w:val="00E246FB"/>
    <w:rsid w:val="00E2701C"/>
    <w:rsid w:val="00E302B1"/>
    <w:rsid w:val="00E31A44"/>
    <w:rsid w:val="00E33B60"/>
    <w:rsid w:val="00E33EB9"/>
    <w:rsid w:val="00E367C8"/>
    <w:rsid w:val="00E367F2"/>
    <w:rsid w:val="00E376A0"/>
    <w:rsid w:val="00E37C28"/>
    <w:rsid w:val="00E40F33"/>
    <w:rsid w:val="00E41250"/>
    <w:rsid w:val="00E4125B"/>
    <w:rsid w:val="00E42432"/>
    <w:rsid w:val="00E4296F"/>
    <w:rsid w:val="00E42DF5"/>
    <w:rsid w:val="00E44169"/>
    <w:rsid w:val="00E44EAD"/>
    <w:rsid w:val="00E46219"/>
    <w:rsid w:val="00E4647A"/>
    <w:rsid w:val="00E50060"/>
    <w:rsid w:val="00E50195"/>
    <w:rsid w:val="00E50C5B"/>
    <w:rsid w:val="00E53F16"/>
    <w:rsid w:val="00E548F0"/>
    <w:rsid w:val="00E551A3"/>
    <w:rsid w:val="00E55F2B"/>
    <w:rsid w:val="00E60718"/>
    <w:rsid w:val="00E6087E"/>
    <w:rsid w:val="00E61E44"/>
    <w:rsid w:val="00E62164"/>
    <w:rsid w:val="00E62D7B"/>
    <w:rsid w:val="00E63622"/>
    <w:rsid w:val="00E6598E"/>
    <w:rsid w:val="00E65B20"/>
    <w:rsid w:val="00E66484"/>
    <w:rsid w:val="00E665A3"/>
    <w:rsid w:val="00E66AEA"/>
    <w:rsid w:val="00E66ED5"/>
    <w:rsid w:val="00E674D2"/>
    <w:rsid w:val="00E7045B"/>
    <w:rsid w:val="00E70C58"/>
    <w:rsid w:val="00E710AC"/>
    <w:rsid w:val="00E717D5"/>
    <w:rsid w:val="00E719D6"/>
    <w:rsid w:val="00E7238D"/>
    <w:rsid w:val="00E734C1"/>
    <w:rsid w:val="00E74ADF"/>
    <w:rsid w:val="00E75CC7"/>
    <w:rsid w:val="00E75F71"/>
    <w:rsid w:val="00E769FC"/>
    <w:rsid w:val="00E80D15"/>
    <w:rsid w:val="00E82F2E"/>
    <w:rsid w:val="00E836F7"/>
    <w:rsid w:val="00E848D7"/>
    <w:rsid w:val="00E85762"/>
    <w:rsid w:val="00E859B6"/>
    <w:rsid w:val="00E86297"/>
    <w:rsid w:val="00E8698A"/>
    <w:rsid w:val="00E874AD"/>
    <w:rsid w:val="00E87C17"/>
    <w:rsid w:val="00E913AC"/>
    <w:rsid w:val="00E91C52"/>
    <w:rsid w:val="00E922F4"/>
    <w:rsid w:val="00E937A5"/>
    <w:rsid w:val="00E94A82"/>
    <w:rsid w:val="00E95705"/>
    <w:rsid w:val="00E95B7B"/>
    <w:rsid w:val="00E96085"/>
    <w:rsid w:val="00E96666"/>
    <w:rsid w:val="00E9680B"/>
    <w:rsid w:val="00E96A59"/>
    <w:rsid w:val="00E97178"/>
    <w:rsid w:val="00E9753A"/>
    <w:rsid w:val="00E97AA4"/>
    <w:rsid w:val="00E97B6F"/>
    <w:rsid w:val="00E97F2D"/>
    <w:rsid w:val="00EA0502"/>
    <w:rsid w:val="00EA1914"/>
    <w:rsid w:val="00EA1F4B"/>
    <w:rsid w:val="00EA32BD"/>
    <w:rsid w:val="00EA5029"/>
    <w:rsid w:val="00EA6332"/>
    <w:rsid w:val="00EA7037"/>
    <w:rsid w:val="00EA713C"/>
    <w:rsid w:val="00EA7631"/>
    <w:rsid w:val="00EA7DC8"/>
    <w:rsid w:val="00EB0E9E"/>
    <w:rsid w:val="00EB26E6"/>
    <w:rsid w:val="00EB3827"/>
    <w:rsid w:val="00EB404B"/>
    <w:rsid w:val="00EB438C"/>
    <w:rsid w:val="00EB45C8"/>
    <w:rsid w:val="00EB4A70"/>
    <w:rsid w:val="00EB505E"/>
    <w:rsid w:val="00EB515A"/>
    <w:rsid w:val="00EB536D"/>
    <w:rsid w:val="00EB7035"/>
    <w:rsid w:val="00EB7F5D"/>
    <w:rsid w:val="00EC2BEF"/>
    <w:rsid w:val="00EC4A86"/>
    <w:rsid w:val="00EC5468"/>
    <w:rsid w:val="00EC605A"/>
    <w:rsid w:val="00EC682B"/>
    <w:rsid w:val="00EC6D7C"/>
    <w:rsid w:val="00EC7AFD"/>
    <w:rsid w:val="00EC7E91"/>
    <w:rsid w:val="00ED12E0"/>
    <w:rsid w:val="00ED18B6"/>
    <w:rsid w:val="00ED192C"/>
    <w:rsid w:val="00ED2C8B"/>
    <w:rsid w:val="00ED3444"/>
    <w:rsid w:val="00ED3504"/>
    <w:rsid w:val="00ED47AC"/>
    <w:rsid w:val="00ED4DA2"/>
    <w:rsid w:val="00ED6B3E"/>
    <w:rsid w:val="00ED7AFB"/>
    <w:rsid w:val="00ED7E8C"/>
    <w:rsid w:val="00EE0206"/>
    <w:rsid w:val="00EE1160"/>
    <w:rsid w:val="00EE2843"/>
    <w:rsid w:val="00EE3E4A"/>
    <w:rsid w:val="00EE44A7"/>
    <w:rsid w:val="00EE4BF3"/>
    <w:rsid w:val="00EE4E7C"/>
    <w:rsid w:val="00EE50A3"/>
    <w:rsid w:val="00EE50D6"/>
    <w:rsid w:val="00EE586B"/>
    <w:rsid w:val="00EE6B2A"/>
    <w:rsid w:val="00EE79A5"/>
    <w:rsid w:val="00EF0C8F"/>
    <w:rsid w:val="00EF324B"/>
    <w:rsid w:val="00EF4113"/>
    <w:rsid w:val="00EF4BC1"/>
    <w:rsid w:val="00EF4E09"/>
    <w:rsid w:val="00EF5512"/>
    <w:rsid w:val="00EF5E6A"/>
    <w:rsid w:val="00EF5EFD"/>
    <w:rsid w:val="00EF6534"/>
    <w:rsid w:val="00EF6692"/>
    <w:rsid w:val="00EF6B68"/>
    <w:rsid w:val="00F01AC4"/>
    <w:rsid w:val="00F01DFC"/>
    <w:rsid w:val="00F024A4"/>
    <w:rsid w:val="00F0252E"/>
    <w:rsid w:val="00F02BB8"/>
    <w:rsid w:val="00F035F9"/>
    <w:rsid w:val="00F03977"/>
    <w:rsid w:val="00F04E37"/>
    <w:rsid w:val="00F04FF1"/>
    <w:rsid w:val="00F05629"/>
    <w:rsid w:val="00F06E47"/>
    <w:rsid w:val="00F07742"/>
    <w:rsid w:val="00F10370"/>
    <w:rsid w:val="00F103E4"/>
    <w:rsid w:val="00F1214E"/>
    <w:rsid w:val="00F1444A"/>
    <w:rsid w:val="00F150DF"/>
    <w:rsid w:val="00F15856"/>
    <w:rsid w:val="00F15D38"/>
    <w:rsid w:val="00F17B05"/>
    <w:rsid w:val="00F215EB"/>
    <w:rsid w:val="00F22B69"/>
    <w:rsid w:val="00F23997"/>
    <w:rsid w:val="00F24190"/>
    <w:rsid w:val="00F24A7E"/>
    <w:rsid w:val="00F24A96"/>
    <w:rsid w:val="00F256CF"/>
    <w:rsid w:val="00F27127"/>
    <w:rsid w:val="00F27C33"/>
    <w:rsid w:val="00F303CB"/>
    <w:rsid w:val="00F307D2"/>
    <w:rsid w:val="00F30E23"/>
    <w:rsid w:val="00F329D1"/>
    <w:rsid w:val="00F33CC6"/>
    <w:rsid w:val="00F34ADE"/>
    <w:rsid w:val="00F34F37"/>
    <w:rsid w:val="00F35062"/>
    <w:rsid w:val="00F35425"/>
    <w:rsid w:val="00F358AA"/>
    <w:rsid w:val="00F35A3E"/>
    <w:rsid w:val="00F35B43"/>
    <w:rsid w:val="00F35CB4"/>
    <w:rsid w:val="00F35D4F"/>
    <w:rsid w:val="00F36433"/>
    <w:rsid w:val="00F36539"/>
    <w:rsid w:val="00F36593"/>
    <w:rsid w:val="00F36E2F"/>
    <w:rsid w:val="00F404A4"/>
    <w:rsid w:val="00F405BD"/>
    <w:rsid w:val="00F40600"/>
    <w:rsid w:val="00F41BB0"/>
    <w:rsid w:val="00F44D33"/>
    <w:rsid w:val="00F458C6"/>
    <w:rsid w:val="00F46D3E"/>
    <w:rsid w:val="00F500F8"/>
    <w:rsid w:val="00F502A0"/>
    <w:rsid w:val="00F502F3"/>
    <w:rsid w:val="00F519D7"/>
    <w:rsid w:val="00F523CB"/>
    <w:rsid w:val="00F53775"/>
    <w:rsid w:val="00F539F6"/>
    <w:rsid w:val="00F54259"/>
    <w:rsid w:val="00F54490"/>
    <w:rsid w:val="00F54A18"/>
    <w:rsid w:val="00F54AA0"/>
    <w:rsid w:val="00F55A0E"/>
    <w:rsid w:val="00F57474"/>
    <w:rsid w:val="00F574DA"/>
    <w:rsid w:val="00F575CC"/>
    <w:rsid w:val="00F60F77"/>
    <w:rsid w:val="00F61EC0"/>
    <w:rsid w:val="00F642E9"/>
    <w:rsid w:val="00F64AE8"/>
    <w:rsid w:val="00F64DF3"/>
    <w:rsid w:val="00F655BD"/>
    <w:rsid w:val="00F65654"/>
    <w:rsid w:val="00F65F36"/>
    <w:rsid w:val="00F67078"/>
    <w:rsid w:val="00F677E5"/>
    <w:rsid w:val="00F70355"/>
    <w:rsid w:val="00F703A8"/>
    <w:rsid w:val="00F70D2D"/>
    <w:rsid w:val="00F73F8E"/>
    <w:rsid w:val="00F74134"/>
    <w:rsid w:val="00F742F2"/>
    <w:rsid w:val="00F749D3"/>
    <w:rsid w:val="00F74AC1"/>
    <w:rsid w:val="00F75540"/>
    <w:rsid w:val="00F75BB0"/>
    <w:rsid w:val="00F80008"/>
    <w:rsid w:val="00F81138"/>
    <w:rsid w:val="00F82462"/>
    <w:rsid w:val="00F83BC9"/>
    <w:rsid w:val="00F83E1C"/>
    <w:rsid w:val="00F84DE2"/>
    <w:rsid w:val="00F84F90"/>
    <w:rsid w:val="00F850FF"/>
    <w:rsid w:val="00F85A3B"/>
    <w:rsid w:val="00F863B4"/>
    <w:rsid w:val="00F90C74"/>
    <w:rsid w:val="00F90DFF"/>
    <w:rsid w:val="00F9140A"/>
    <w:rsid w:val="00F919C0"/>
    <w:rsid w:val="00F92DE7"/>
    <w:rsid w:val="00F9408A"/>
    <w:rsid w:val="00F9675A"/>
    <w:rsid w:val="00F96EBF"/>
    <w:rsid w:val="00F973DA"/>
    <w:rsid w:val="00F97610"/>
    <w:rsid w:val="00F9779F"/>
    <w:rsid w:val="00F979D9"/>
    <w:rsid w:val="00FA3037"/>
    <w:rsid w:val="00FA3C30"/>
    <w:rsid w:val="00FA3FE8"/>
    <w:rsid w:val="00FA483F"/>
    <w:rsid w:val="00FA4A8D"/>
    <w:rsid w:val="00FA55B7"/>
    <w:rsid w:val="00FA5C35"/>
    <w:rsid w:val="00FA5FB8"/>
    <w:rsid w:val="00FA6808"/>
    <w:rsid w:val="00FA6903"/>
    <w:rsid w:val="00FB020F"/>
    <w:rsid w:val="00FB0571"/>
    <w:rsid w:val="00FB0E22"/>
    <w:rsid w:val="00FB2262"/>
    <w:rsid w:val="00FB2667"/>
    <w:rsid w:val="00FB2C86"/>
    <w:rsid w:val="00FB43AE"/>
    <w:rsid w:val="00FB43B1"/>
    <w:rsid w:val="00FB4FA6"/>
    <w:rsid w:val="00FB6E9F"/>
    <w:rsid w:val="00FC0422"/>
    <w:rsid w:val="00FC0ED8"/>
    <w:rsid w:val="00FC24E3"/>
    <w:rsid w:val="00FC2A3F"/>
    <w:rsid w:val="00FC2F0F"/>
    <w:rsid w:val="00FC49B3"/>
    <w:rsid w:val="00FC6091"/>
    <w:rsid w:val="00FD1C92"/>
    <w:rsid w:val="00FD2CC0"/>
    <w:rsid w:val="00FD33E0"/>
    <w:rsid w:val="00FD3D23"/>
    <w:rsid w:val="00FD3D94"/>
    <w:rsid w:val="00FD4BE1"/>
    <w:rsid w:val="00FD52B8"/>
    <w:rsid w:val="00FD546E"/>
    <w:rsid w:val="00FD5DA5"/>
    <w:rsid w:val="00FD6DF9"/>
    <w:rsid w:val="00FD6EEA"/>
    <w:rsid w:val="00FD6F21"/>
    <w:rsid w:val="00FD73BF"/>
    <w:rsid w:val="00FD79F6"/>
    <w:rsid w:val="00FE1587"/>
    <w:rsid w:val="00FE1945"/>
    <w:rsid w:val="00FE1A8C"/>
    <w:rsid w:val="00FE1C83"/>
    <w:rsid w:val="00FE2031"/>
    <w:rsid w:val="00FE2C01"/>
    <w:rsid w:val="00FE3CB0"/>
    <w:rsid w:val="00FE4293"/>
    <w:rsid w:val="00FE4579"/>
    <w:rsid w:val="00FE4A79"/>
    <w:rsid w:val="00FE602E"/>
    <w:rsid w:val="00FE6172"/>
    <w:rsid w:val="00FE64BE"/>
    <w:rsid w:val="00FE7BBE"/>
    <w:rsid w:val="00FF0CD9"/>
    <w:rsid w:val="00FF0D49"/>
    <w:rsid w:val="00FF1B05"/>
    <w:rsid w:val="00FF318C"/>
    <w:rsid w:val="00FF44EC"/>
    <w:rsid w:val="00FF44F0"/>
    <w:rsid w:val="00FF4655"/>
    <w:rsid w:val="00FF51B9"/>
    <w:rsid w:val="00FF55B9"/>
    <w:rsid w:val="00FF6DCA"/>
    <w:rsid w:val="00FF6E3F"/>
    <w:rsid w:val="00FF7CA4"/>
    <w:rsid w:val="00FF7CBE"/>
    <w:rsid w:val="10C355BD"/>
    <w:rsid w:val="118A6CD1"/>
    <w:rsid w:val="127B6EC5"/>
    <w:rsid w:val="16EB2E0A"/>
    <w:rsid w:val="20E57609"/>
    <w:rsid w:val="21D750D3"/>
    <w:rsid w:val="27E57E0E"/>
    <w:rsid w:val="2E5D4ADF"/>
    <w:rsid w:val="2F814097"/>
    <w:rsid w:val="31D75ECB"/>
    <w:rsid w:val="34AD11AA"/>
    <w:rsid w:val="377170F0"/>
    <w:rsid w:val="3FE3169A"/>
    <w:rsid w:val="43374F2E"/>
    <w:rsid w:val="444F5965"/>
    <w:rsid w:val="45781468"/>
    <w:rsid w:val="4A250B6D"/>
    <w:rsid w:val="55CD5237"/>
    <w:rsid w:val="5C82600B"/>
    <w:rsid w:val="5E021E88"/>
    <w:rsid w:val="5E122DD7"/>
    <w:rsid w:val="5F392183"/>
    <w:rsid w:val="5FAF25D7"/>
    <w:rsid w:val="602C2F90"/>
    <w:rsid w:val="677A130D"/>
    <w:rsid w:val="68663EA7"/>
    <w:rsid w:val="6CE5643C"/>
    <w:rsid w:val="713F7637"/>
    <w:rsid w:val="751F032D"/>
    <w:rsid w:val="7D7C339E"/>
    <w:rsid w:val="7DD566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semiHidden="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semiHidden="0" w:name="toc 2"/>
    <w:lsdException w:qFormat="1" w:unhideWhenUsed="0"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numPr>
        <w:ilvl w:val="0"/>
        <w:numId w:val="1"/>
      </w:numPr>
      <w:tabs>
        <w:tab w:val="left" w:pos="1155"/>
        <w:tab w:val="clear" w:pos="1830"/>
      </w:tabs>
      <w:ind w:left="1260" w:firstLine="0"/>
      <w:outlineLvl w:val="0"/>
    </w:pPr>
    <w:rPr>
      <w:rFonts w:ascii="Arial" w:hAnsi="Arial" w:eastAsia="仿宋_GB2312"/>
      <w:sz w:val="28"/>
    </w:rPr>
  </w:style>
  <w:style w:type="paragraph" w:styleId="3">
    <w:name w:val="heading 2"/>
    <w:basedOn w:val="1"/>
    <w:next w:val="4"/>
    <w:link w:val="204"/>
    <w:qFormat/>
    <w:uiPriority w:val="0"/>
    <w:pPr>
      <w:keepNext/>
      <w:jc w:val="center"/>
      <w:outlineLvl w:val="1"/>
    </w:pPr>
    <w:rPr>
      <w:rFonts w:ascii="仿宋_GB2312" w:hAnsi="Arial" w:eastAsia="仿宋_GB2312"/>
      <w:b/>
      <w:sz w:val="28"/>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outlineLvl w:val="4"/>
    </w:pPr>
    <w:rPr>
      <w:rFonts w:ascii="宋体" w:hAnsi="Arial"/>
      <w:bCs/>
      <w:sz w:val="28"/>
    </w:rPr>
  </w:style>
  <w:style w:type="paragraph" w:styleId="8">
    <w:name w:val="heading 6"/>
    <w:basedOn w:val="1"/>
    <w:next w:val="1"/>
    <w:qFormat/>
    <w:uiPriority w:val="0"/>
    <w:pPr>
      <w:keepNext/>
      <w:keepLines/>
      <w:spacing w:before="240" w:after="64" w:line="320" w:lineRule="auto"/>
      <w:outlineLvl w:val="5"/>
    </w:pPr>
    <w:rPr>
      <w:rFonts w:ascii="Cambria" w:hAnsi="Cambria"/>
      <w:b/>
      <w:bCs/>
      <w:sz w:val="24"/>
      <w:szCs w:val="24"/>
    </w:rPr>
  </w:style>
  <w:style w:type="paragraph" w:styleId="9">
    <w:name w:val="heading 7"/>
    <w:basedOn w:val="1"/>
    <w:next w:val="1"/>
    <w:qFormat/>
    <w:uiPriority w:val="0"/>
    <w:pPr>
      <w:keepNext/>
      <w:keepLines/>
      <w:spacing w:before="240" w:after="64" w:line="320" w:lineRule="auto"/>
      <w:outlineLvl w:val="6"/>
    </w:pPr>
    <w:rPr>
      <w:rFonts w:ascii="Calibri" w:hAnsi="Calibri"/>
      <w:b/>
      <w:bCs/>
      <w:sz w:val="24"/>
      <w:szCs w:val="24"/>
    </w:rPr>
  </w:style>
  <w:style w:type="paragraph" w:styleId="10">
    <w:name w:val="heading 8"/>
    <w:basedOn w:val="1"/>
    <w:next w:val="1"/>
    <w:qFormat/>
    <w:uiPriority w:val="0"/>
    <w:pPr>
      <w:keepNext/>
      <w:keepLines/>
      <w:spacing w:before="240" w:after="64" w:line="320" w:lineRule="auto"/>
      <w:outlineLvl w:val="7"/>
    </w:pPr>
    <w:rPr>
      <w:rFonts w:ascii="Cambria" w:hAnsi="Cambria"/>
      <w:sz w:val="24"/>
      <w:szCs w:val="24"/>
    </w:rPr>
  </w:style>
  <w:style w:type="paragraph" w:styleId="11">
    <w:name w:val="heading 9"/>
    <w:basedOn w:val="1"/>
    <w:next w:val="1"/>
    <w:qFormat/>
    <w:uiPriority w:val="0"/>
    <w:pPr>
      <w:keepNext/>
      <w:keepLines/>
      <w:spacing w:before="240" w:after="64" w:line="320" w:lineRule="auto"/>
      <w:outlineLvl w:val="8"/>
    </w:pPr>
    <w:rPr>
      <w:rFonts w:ascii="Cambria" w:hAnsi="Cambria"/>
      <w:szCs w:val="21"/>
    </w:rPr>
  </w:style>
  <w:style w:type="character" w:default="1" w:styleId="44">
    <w:name w:val="Default Paragraph Font"/>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link w:val="201"/>
    <w:qFormat/>
    <w:uiPriority w:val="0"/>
    <w:pPr>
      <w:ind w:firstLine="420"/>
    </w:pPr>
  </w:style>
  <w:style w:type="paragraph" w:styleId="12">
    <w:name w:val="List Bullet"/>
    <w:basedOn w:val="1"/>
    <w:qFormat/>
    <w:uiPriority w:val="0"/>
    <w:rPr>
      <w:rFonts w:hint="eastAsia" w:ascii="宋体" w:hAnsi="宋体"/>
      <w:b/>
      <w:bCs/>
      <w:sz w:val="30"/>
    </w:rPr>
  </w:style>
  <w:style w:type="paragraph" w:styleId="13">
    <w:name w:val="Document Map"/>
    <w:basedOn w:val="1"/>
    <w:qFormat/>
    <w:uiPriority w:val="0"/>
    <w:pPr>
      <w:shd w:val="clear" w:color="auto" w:fill="000080"/>
    </w:pPr>
    <w:rPr>
      <w:szCs w:val="24"/>
    </w:rPr>
  </w:style>
  <w:style w:type="paragraph" w:styleId="14">
    <w:name w:val="annotation text"/>
    <w:basedOn w:val="1"/>
    <w:semiHidden/>
    <w:qFormat/>
    <w:uiPriority w:val="0"/>
    <w:pPr>
      <w:jc w:val="left"/>
    </w:pPr>
  </w:style>
  <w:style w:type="paragraph" w:styleId="15">
    <w:name w:val="Body Text 3"/>
    <w:basedOn w:val="1"/>
    <w:qFormat/>
    <w:uiPriority w:val="0"/>
    <w:rPr>
      <w:rFonts w:ascii="黑体" w:hAnsi="Arial" w:eastAsia="黑体"/>
      <w:b/>
      <w:sz w:val="28"/>
    </w:rPr>
  </w:style>
  <w:style w:type="paragraph" w:styleId="16">
    <w:name w:val="Body Text"/>
    <w:basedOn w:val="1"/>
    <w:link w:val="194"/>
    <w:qFormat/>
    <w:uiPriority w:val="0"/>
    <w:rPr>
      <w:rFonts w:ascii="Arial" w:hAnsi="Arial" w:eastAsia="仿宋_GB2312"/>
      <w:sz w:val="32"/>
    </w:rPr>
  </w:style>
  <w:style w:type="paragraph" w:styleId="17">
    <w:name w:val="Body Text Indent"/>
    <w:basedOn w:val="1"/>
    <w:qFormat/>
    <w:uiPriority w:val="0"/>
    <w:pPr>
      <w:ind w:firstLine="645"/>
    </w:pPr>
    <w:rPr>
      <w:rFonts w:ascii="楷体_GB2312" w:eastAsia="楷体_GB2312"/>
      <w:sz w:val="32"/>
    </w:rPr>
  </w:style>
  <w:style w:type="paragraph" w:styleId="18">
    <w:name w:val="List 2"/>
    <w:basedOn w:val="1"/>
    <w:qFormat/>
    <w:uiPriority w:val="0"/>
    <w:pPr>
      <w:ind w:left="100" w:leftChars="200" w:hanging="200" w:hangingChars="200"/>
    </w:pPr>
    <w:rPr>
      <w:szCs w:val="24"/>
    </w:rPr>
  </w:style>
  <w:style w:type="paragraph" w:styleId="19">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0">
    <w:name w:val="toc 3"/>
    <w:basedOn w:val="1"/>
    <w:next w:val="1"/>
    <w:semiHidden/>
    <w:qFormat/>
    <w:uiPriority w:val="0"/>
    <w:pPr>
      <w:ind w:left="840" w:leftChars="400"/>
    </w:pPr>
    <w:rPr>
      <w:rFonts w:eastAsia="黑体"/>
      <w:sz w:val="28"/>
      <w:szCs w:val="24"/>
    </w:rPr>
  </w:style>
  <w:style w:type="paragraph" w:styleId="21">
    <w:name w:val="Plain Text"/>
    <w:basedOn w:val="1"/>
    <w:link w:val="74"/>
    <w:qFormat/>
    <w:uiPriority w:val="0"/>
    <w:rPr>
      <w:rFonts w:ascii="宋体" w:hAnsi="Courier New"/>
    </w:rPr>
  </w:style>
  <w:style w:type="paragraph" w:styleId="22">
    <w:name w:val="Date"/>
    <w:basedOn w:val="1"/>
    <w:next w:val="1"/>
    <w:qFormat/>
    <w:uiPriority w:val="0"/>
    <w:rPr>
      <w:rFonts w:ascii="仿宋_GB2312" w:eastAsia="仿宋_GB2312"/>
      <w:sz w:val="30"/>
    </w:rPr>
  </w:style>
  <w:style w:type="paragraph" w:styleId="23">
    <w:name w:val="Body Text Indent 2"/>
    <w:basedOn w:val="1"/>
    <w:qFormat/>
    <w:uiPriority w:val="0"/>
    <w:pPr>
      <w:ind w:left="630" w:firstLine="645"/>
    </w:pPr>
    <w:rPr>
      <w:rFonts w:ascii="Arial" w:hAnsi="Arial" w:eastAsia="仿宋_GB2312"/>
      <w:sz w:val="32"/>
    </w:rPr>
  </w:style>
  <w:style w:type="paragraph" w:styleId="24">
    <w:name w:val="Balloon Text"/>
    <w:basedOn w:val="1"/>
    <w:semiHidden/>
    <w:qFormat/>
    <w:uiPriority w:val="0"/>
    <w:rPr>
      <w:sz w:val="18"/>
      <w:szCs w:val="18"/>
    </w:rPr>
  </w:style>
  <w:style w:type="paragraph" w:styleId="25">
    <w:name w:val="footer"/>
    <w:basedOn w:val="1"/>
    <w:link w:val="202"/>
    <w:qFormat/>
    <w:uiPriority w:val="0"/>
    <w:pPr>
      <w:tabs>
        <w:tab w:val="center" w:pos="4153"/>
        <w:tab w:val="right" w:pos="8306"/>
      </w:tabs>
      <w:snapToGrid w:val="0"/>
      <w:jc w:val="left"/>
    </w:pPr>
    <w:rPr>
      <w:sz w:val="18"/>
    </w:rPr>
  </w:style>
  <w:style w:type="paragraph" w:styleId="26">
    <w:name w:val="header"/>
    <w:basedOn w:val="1"/>
    <w:link w:val="80"/>
    <w:qFormat/>
    <w:uiPriority w:val="0"/>
    <w:pPr>
      <w:pBdr>
        <w:bottom w:val="single" w:color="auto" w:sz="6" w:space="1"/>
      </w:pBdr>
      <w:tabs>
        <w:tab w:val="center" w:pos="4153"/>
        <w:tab w:val="right" w:pos="8306"/>
      </w:tabs>
      <w:snapToGrid w:val="0"/>
      <w:jc w:val="center"/>
    </w:pPr>
    <w:rPr>
      <w:sz w:val="18"/>
    </w:rPr>
  </w:style>
  <w:style w:type="paragraph" w:styleId="27">
    <w:name w:val="toc 1"/>
    <w:basedOn w:val="28"/>
    <w:next w:val="1"/>
    <w:semiHidden/>
    <w:qFormat/>
    <w:uiPriority w:val="0"/>
    <w:rPr>
      <w:b/>
      <w:bCs/>
      <w:sz w:val="32"/>
      <w:szCs w:val="24"/>
    </w:rPr>
  </w:style>
  <w:style w:type="paragraph" w:styleId="28">
    <w:name w:val="index 1"/>
    <w:basedOn w:val="1"/>
    <w:next w:val="1"/>
    <w:semiHidden/>
    <w:qFormat/>
    <w:uiPriority w:val="0"/>
  </w:style>
  <w:style w:type="paragraph" w:styleId="29">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30">
    <w:name w:val="List"/>
    <w:basedOn w:val="1"/>
    <w:qFormat/>
    <w:uiPriority w:val="0"/>
    <w:pPr>
      <w:adjustRightInd w:val="0"/>
      <w:snapToGrid w:val="0"/>
      <w:spacing w:line="360" w:lineRule="auto"/>
      <w:jc w:val="center"/>
    </w:pPr>
    <w:rPr>
      <w:rFonts w:ascii="仿宋_GB2312" w:hAnsi="Geneva" w:eastAsia="仿宋_GB2312"/>
      <w:kern w:val="0"/>
      <w:sz w:val="24"/>
    </w:rPr>
  </w:style>
  <w:style w:type="paragraph" w:styleId="31">
    <w:name w:val="Body Text Indent 3"/>
    <w:basedOn w:val="1"/>
    <w:qFormat/>
    <w:uiPriority w:val="0"/>
    <w:pPr>
      <w:ind w:left="645"/>
    </w:pPr>
    <w:rPr>
      <w:rFonts w:ascii="Arial" w:hAnsi="Arial" w:eastAsia="仿宋_GB2312"/>
      <w:sz w:val="32"/>
    </w:rPr>
  </w:style>
  <w:style w:type="paragraph" w:styleId="32">
    <w:name w:val="toc 2"/>
    <w:basedOn w:val="33"/>
    <w:next w:val="33"/>
    <w:qFormat/>
    <w:uiPriority w:val="0"/>
    <w:pPr>
      <w:ind w:left="0" w:leftChars="0" w:firstLine="432" w:firstLineChars="180"/>
    </w:pPr>
    <w:rPr>
      <w:rFonts w:eastAsia="黑体"/>
      <w:b/>
      <w:sz w:val="30"/>
      <w:szCs w:val="36"/>
    </w:rPr>
  </w:style>
  <w:style w:type="paragraph" w:styleId="33">
    <w:name w:val="index 2"/>
    <w:basedOn w:val="1"/>
    <w:next w:val="1"/>
    <w:qFormat/>
    <w:uiPriority w:val="0"/>
    <w:pPr>
      <w:ind w:left="200" w:leftChars="200"/>
    </w:pPr>
    <w:rPr>
      <w:szCs w:val="24"/>
    </w:rPr>
  </w:style>
  <w:style w:type="paragraph" w:styleId="34">
    <w:name w:val="Body Text 2"/>
    <w:basedOn w:val="1"/>
    <w:qFormat/>
    <w:uiPriority w:val="0"/>
    <w:rPr>
      <w:rFonts w:ascii="Arial" w:hAnsi="Arial" w:eastAsia="仿宋_GB2312"/>
      <w:b/>
      <w:sz w:val="36"/>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styleId="36">
    <w:name w:val="Normal (Web)"/>
    <w:basedOn w:val="1"/>
    <w:qFormat/>
    <w:uiPriority w:val="0"/>
    <w:pPr>
      <w:widowControl/>
      <w:spacing w:before="100" w:beforeAutospacing="1" w:after="100" w:afterAutospacing="1"/>
      <w:jc w:val="left"/>
    </w:pPr>
    <w:rPr>
      <w:rFonts w:hint="eastAsia" w:ascii="宋体" w:hAnsi="宋体"/>
      <w:kern w:val="0"/>
      <w:sz w:val="24"/>
      <w:szCs w:val="24"/>
    </w:rPr>
  </w:style>
  <w:style w:type="paragraph" w:styleId="37">
    <w:name w:val="Title"/>
    <w:basedOn w:val="3"/>
    <w:next w:val="1"/>
    <w:qFormat/>
    <w:uiPriority w:val="0"/>
    <w:pPr>
      <w:keepNext w:val="0"/>
      <w:widowControl/>
      <w:spacing w:before="100" w:beforeAutospacing="1" w:after="100" w:afterAutospacing="1" w:line="440" w:lineRule="exact"/>
    </w:pPr>
    <w:rPr>
      <w:rFonts w:ascii="宋体" w:hAnsi="宋体" w:eastAsia="宋体"/>
      <w:bCs/>
      <w:kern w:val="0"/>
      <w:sz w:val="32"/>
      <w:szCs w:val="32"/>
    </w:rPr>
  </w:style>
  <w:style w:type="paragraph" w:styleId="38">
    <w:name w:val="annotation subject"/>
    <w:basedOn w:val="14"/>
    <w:next w:val="14"/>
    <w:semiHidden/>
    <w:qFormat/>
    <w:uiPriority w:val="0"/>
    <w:rPr>
      <w:b/>
      <w:bCs/>
    </w:rPr>
  </w:style>
  <w:style w:type="paragraph" w:styleId="39">
    <w:name w:val="Body Text First Indent"/>
    <w:basedOn w:val="16"/>
    <w:link w:val="195"/>
    <w:qFormat/>
    <w:uiPriority w:val="0"/>
    <w:pPr>
      <w:spacing w:after="120"/>
      <w:ind w:firstLine="420" w:firstLineChars="100"/>
    </w:pPr>
    <w:rPr>
      <w:rFonts w:ascii="Times New Roman" w:hAnsi="Times New Roman" w:eastAsia="宋体"/>
      <w:sz w:val="21"/>
    </w:rPr>
  </w:style>
  <w:style w:type="paragraph" w:styleId="40">
    <w:name w:val="Body Text First Indent 2"/>
    <w:basedOn w:val="17"/>
    <w:qFormat/>
    <w:uiPriority w:val="0"/>
    <w:pPr>
      <w:spacing w:after="120"/>
      <w:ind w:left="420" w:leftChars="200" w:firstLine="420" w:firstLineChars="200"/>
    </w:pPr>
    <w:rPr>
      <w:rFonts w:ascii="Times New Roman" w:eastAsia="宋体"/>
      <w:sz w:val="21"/>
      <w:szCs w:val="24"/>
    </w:rPr>
  </w:style>
  <w:style w:type="table" w:styleId="42">
    <w:name w:val="Table Grid"/>
    <w:basedOn w:val="4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43">
    <w:name w:val="Table Theme"/>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qFormat/>
    <w:uiPriority w:val="0"/>
    <w:rPr>
      <w:color w:val="333333"/>
      <w:u w:val="none"/>
    </w:rPr>
  </w:style>
  <w:style w:type="character" w:styleId="48">
    <w:name w:val="Emphasis"/>
    <w:qFormat/>
    <w:uiPriority w:val="0"/>
    <w:rPr>
      <w:i/>
      <w:iCs/>
    </w:rPr>
  </w:style>
  <w:style w:type="character" w:styleId="49">
    <w:name w:val="Hyperlink"/>
    <w:qFormat/>
    <w:uiPriority w:val="0"/>
    <w:rPr>
      <w:color w:val="333333"/>
      <w:u w:val="none"/>
    </w:rPr>
  </w:style>
  <w:style w:type="character" w:styleId="50">
    <w:name w:val="annotation reference"/>
    <w:semiHidden/>
    <w:qFormat/>
    <w:uiPriority w:val="0"/>
    <w:rPr>
      <w:sz w:val="21"/>
      <w:szCs w:val="21"/>
    </w:rPr>
  </w:style>
  <w:style w:type="character" w:customStyle="1" w:styleId="51">
    <w:name w:val="Char Char3"/>
    <w:qFormat/>
    <w:uiPriority w:val="0"/>
    <w:rPr>
      <w:rFonts w:ascii="黑体" w:hAnsi="Courier New" w:eastAsia="黑体" w:cs="Times New Roman"/>
      <w:kern w:val="0"/>
      <w:sz w:val="20"/>
      <w:szCs w:val="20"/>
    </w:rPr>
  </w:style>
  <w:style w:type="character" w:customStyle="1" w:styleId="52">
    <w:name w:val="标题 Char1"/>
    <w:qFormat/>
    <w:uiPriority w:val="0"/>
    <w:rPr>
      <w:rFonts w:ascii="Cambria" w:hAnsi="Cambria" w:eastAsia="宋体" w:cs="Times New Roman"/>
      <w:b/>
      <w:bCs/>
      <w:sz w:val="32"/>
      <w:szCs w:val="32"/>
    </w:rPr>
  </w:style>
  <w:style w:type="character" w:customStyle="1" w:styleId="53">
    <w:name w:val="标题2 Char Char"/>
    <w:qFormat/>
    <w:uiPriority w:val="0"/>
    <w:rPr>
      <w:rFonts w:ascii="隶书" w:hAnsi="宋体" w:eastAsia="隶书" w:cs="Arial"/>
      <w:sz w:val="36"/>
      <w:szCs w:val="36"/>
    </w:rPr>
  </w:style>
  <w:style w:type="character" w:customStyle="1" w:styleId="54">
    <w:name w:val="Char Char15"/>
    <w:qFormat/>
    <w:uiPriority w:val="0"/>
    <w:rPr>
      <w:sz w:val="18"/>
      <w:szCs w:val="18"/>
    </w:rPr>
  </w:style>
  <w:style w:type="character" w:customStyle="1" w:styleId="55">
    <w:name w:val="Char Char24"/>
    <w:qFormat/>
    <w:uiPriority w:val="0"/>
    <w:rPr>
      <w:rFonts w:ascii="宋体" w:hAnsi="宋体" w:eastAsia="宋体" w:cs="Times New Roman"/>
      <w:b/>
      <w:bCs/>
      <w:sz w:val="36"/>
      <w:szCs w:val="36"/>
    </w:rPr>
  </w:style>
  <w:style w:type="character" w:customStyle="1" w:styleId="56">
    <w:name w:val="Char Char12"/>
    <w:qFormat/>
    <w:uiPriority w:val="0"/>
    <w:rPr>
      <w:rFonts w:ascii="仿宋_GB2312" w:hAnsi="Times New Roman" w:eastAsia="仿宋_GB2312" w:cs="Times New Roman"/>
      <w:sz w:val="30"/>
      <w:szCs w:val="20"/>
    </w:rPr>
  </w:style>
  <w:style w:type="character" w:customStyle="1" w:styleId="57">
    <w:name w:val="明显强调1"/>
    <w:qFormat/>
    <w:uiPriority w:val="0"/>
    <w:rPr>
      <w:b/>
      <w:bCs/>
      <w:i/>
      <w:iCs/>
      <w:color w:val="4F81BD"/>
    </w:rPr>
  </w:style>
  <w:style w:type="character" w:customStyle="1" w:styleId="58">
    <w:name w:val="Char Char8"/>
    <w:qFormat/>
    <w:uiPriority w:val="0"/>
    <w:rPr>
      <w:rFonts w:ascii="Calibri" w:hAnsi="Calibri"/>
    </w:rPr>
  </w:style>
  <w:style w:type="character" w:customStyle="1" w:styleId="59">
    <w:name w:val="Char Char4"/>
    <w:qFormat/>
    <w:uiPriority w:val="0"/>
    <w:rPr>
      <w:rFonts w:ascii="宋体" w:hAnsi="Courier New"/>
    </w:rPr>
  </w:style>
  <w:style w:type="character" w:customStyle="1" w:styleId="60">
    <w:name w:val="Char Char9"/>
    <w:qFormat/>
    <w:uiPriority w:val="0"/>
    <w:rPr>
      <w:rFonts w:ascii="Times New Roman" w:hAnsi="Times New Roman" w:eastAsia="宋体" w:cs="Times New Roman"/>
      <w:sz w:val="24"/>
      <w:szCs w:val="24"/>
    </w:rPr>
  </w:style>
  <w:style w:type="character" w:customStyle="1" w:styleId="61">
    <w:name w:val="Char Char13"/>
    <w:qFormat/>
    <w:uiPriority w:val="0"/>
    <w:rPr>
      <w:rFonts w:ascii="Times New Roman" w:hAnsi="Times New Roman" w:eastAsia="宋体" w:cs="Times New Roman"/>
      <w:sz w:val="28"/>
      <w:szCs w:val="24"/>
    </w:rPr>
  </w:style>
  <w:style w:type="character" w:customStyle="1" w:styleId="62">
    <w:name w:val="Char Char17"/>
    <w:qFormat/>
    <w:uiPriority w:val="0"/>
    <w:rPr>
      <w:rFonts w:ascii="Cambria" w:hAnsi="Cambria" w:eastAsia="宋体" w:cs="Times New Roman"/>
      <w:szCs w:val="21"/>
    </w:rPr>
  </w:style>
  <w:style w:type="character" w:customStyle="1" w:styleId="63">
    <w:name w:val="明显参考1"/>
    <w:qFormat/>
    <w:uiPriority w:val="0"/>
    <w:rPr>
      <w:b/>
      <w:bCs/>
      <w:smallCaps/>
      <w:color w:val="C0504D"/>
      <w:spacing w:val="5"/>
      <w:u w:val="single"/>
    </w:rPr>
  </w:style>
  <w:style w:type="character" w:customStyle="1" w:styleId="64">
    <w:name w:val="引用 Char"/>
    <w:qFormat/>
    <w:uiPriority w:val="0"/>
    <w:rPr>
      <w:rFonts w:ascii="Calibri" w:hAnsi="Calibri"/>
      <w:i/>
      <w:iCs/>
      <w:color w:val="000000"/>
    </w:rPr>
  </w:style>
  <w:style w:type="character" w:customStyle="1" w:styleId="65">
    <w:name w:val="Char Char2"/>
    <w:qFormat/>
    <w:uiPriority w:val="0"/>
    <w:rPr>
      <w:rFonts w:ascii="黑体" w:hAnsi="Arial" w:eastAsia="黑体" w:cs="Times New Roman"/>
      <w:b/>
      <w:sz w:val="28"/>
      <w:szCs w:val="20"/>
    </w:rPr>
  </w:style>
  <w:style w:type="character" w:customStyle="1" w:styleId="66">
    <w:name w:val="Char Char10"/>
    <w:qFormat/>
    <w:uiPriority w:val="0"/>
    <w:rPr>
      <w:rFonts w:ascii="宋体" w:hAnsi="宋体" w:cs="宋体"/>
      <w:b/>
      <w:bCs/>
      <w:sz w:val="32"/>
      <w:szCs w:val="32"/>
    </w:rPr>
  </w:style>
  <w:style w:type="character" w:customStyle="1" w:styleId="67">
    <w:name w:val="图表注释 Char Char"/>
    <w:qFormat/>
    <w:uiPriority w:val="0"/>
    <w:rPr>
      <w:rFonts w:ascii="Calibri" w:hAnsi="Calibri" w:eastAsia="楷体_GB2312"/>
    </w:rPr>
  </w:style>
  <w:style w:type="character" w:customStyle="1" w:styleId="68">
    <w:name w:val="Char Char14"/>
    <w:qFormat/>
    <w:uiPriority w:val="0"/>
    <w:rPr>
      <w:rFonts w:ascii="Times New Roman" w:hAnsi="Times New Roman" w:eastAsia="宋体" w:cs="Times New Roman"/>
      <w:szCs w:val="24"/>
      <w:shd w:val="clear" w:color="auto" w:fill="000080"/>
    </w:rPr>
  </w:style>
  <w:style w:type="character" w:customStyle="1" w:styleId="69">
    <w:name w:val="副标题 Char1"/>
    <w:qFormat/>
    <w:uiPriority w:val="0"/>
    <w:rPr>
      <w:rFonts w:ascii="Cambria" w:hAnsi="Cambria" w:eastAsia="宋体" w:cs="Times New Roman"/>
      <w:b/>
      <w:bCs/>
      <w:kern w:val="28"/>
      <w:sz w:val="32"/>
      <w:szCs w:val="32"/>
    </w:rPr>
  </w:style>
  <w:style w:type="character" w:customStyle="1" w:styleId="70">
    <w:name w:val="Char Char21"/>
    <w:qFormat/>
    <w:uiPriority w:val="0"/>
    <w:rPr>
      <w:rFonts w:ascii="宋体" w:hAnsi="Arial" w:eastAsia="宋体" w:cs="Times New Roman"/>
      <w:bCs/>
      <w:sz w:val="28"/>
      <w:szCs w:val="20"/>
    </w:rPr>
  </w:style>
  <w:style w:type="character" w:customStyle="1" w:styleId="71">
    <w:name w:val="明显引用 Char1"/>
    <w:qFormat/>
    <w:uiPriority w:val="0"/>
    <w:rPr>
      <w:rFonts w:ascii="Times New Roman" w:hAnsi="Times New Roman" w:eastAsia="宋体" w:cs="Times New Roman"/>
      <w:b/>
      <w:bCs/>
      <w:i/>
      <w:iCs/>
      <w:color w:val="4F81BD"/>
      <w:szCs w:val="24"/>
    </w:rPr>
  </w:style>
  <w:style w:type="character" w:customStyle="1" w:styleId="72">
    <w:name w:val="纯文本 Char1"/>
    <w:qFormat/>
    <w:uiPriority w:val="0"/>
    <w:rPr>
      <w:rFonts w:ascii="宋体" w:hAnsi="Courier New" w:eastAsia="宋体"/>
      <w:kern w:val="2"/>
      <w:sz w:val="21"/>
      <w:lang w:val="en-US" w:eastAsia="zh-CN" w:bidi="ar-SA"/>
    </w:rPr>
  </w:style>
  <w:style w:type="character" w:customStyle="1" w:styleId="73">
    <w:name w:val="Char Char22"/>
    <w:qFormat/>
    <w:uiPriority w:val="0"/>
    <w:rPr>
      <w:rFonts w:ascii="Arial" w:hAnsi="Arial" w:eastAsia="黑体" w:cs="Times New Roman"/>
      <w:b/>
      <w:bCs/>
      <w:sz w:val="28"/>
      <w:szCs w:val="28"/>
    </w:rPr>
  </w:style>
  <w:style w:type="character" w:customStyle="1" w:styleId="74">
    <w:name w:val="纯文本 Char"/>
    <w:link w:val="21"/>
    <w:qFormat/>
    <w:uiPriority w:val="0"/>
    <w:rPr>
      <w:rFonts w:ascii="宋体" w:hAnsi="Courier New" w:eastAsia="宋体"/>
      <w:kern w:val="2"/>
      <w:sz w:val="21"/>
      <w:lang w:val="en-US" w:eastAsia="zh-CN" w:bidi="ar-SA"/>
    </w:rPr>
  </w:style>
  <w:style w:type="character" w:customStyle="1" w:styleId="75">
    <w:name w:val="Char Char11"/>
    <w:qFormat/>
    <w:uiPriority w:val="0"/>
    <w:rPr>
      <w:rFonts w:ascii="Cambria" w:hAnsi="Cambria"/>
      <w:b/>
      <w:bCs/>
      <w:kern w:val="28"/>
      <w:sz w:val="32"/>
      <w:szCs w:val="32"/>
    </w:rPr>
  </w:style>
  <w:style w:type="character" w:customStyle="1" w:styleId="76">
    <w:name w:val="无间隔 Char"/>
    <w:qFormat/>
    <w:uiPriority w:val="0"/>
    <w:rPr>
      <w:kern w:val="2"/>
      <w:sz w:val="21"/>
      <w:szCs w:val="22"/>
      <w:lang w:val="en-US" w:eastAsia="zh-CN" w:bidi="ar-SA"/>
    </w:rPr>
  </w:style>
  <w:style w:type="character" w:customStyle="1" w:styleId="77">
    <w:name w:val="Char Char18"/>
    <w:qFormat/>
    <w:uiPriority w:val="0"/>
    <w:rPr>
      <w:rFonts w:ascii="Cambria" w:hAnsi="Cambria" w:eastAsia="宋体" w:cs="Times New Roman"/>
      <w:sz w:val="24"/>
      <w:szCs w:val="24"/>
    </w:rPr>
  </w:style>
  <w:style w:type="character" w:customStyle="1" w:styleId="78">
    <w:name w:val="Char Char5"/>
    <w:qFormat/>
    <w:uiPriority w:val="0"/>
    <w:rPr>
      <w:rFonts w:ascii="Calibri" w:hAnsi="Calibri"/>
      <w:b/>
      <w:bCs/>
    </w:rPr>
  </w:style>
  <w:style w:type="character" w:customStyle="1" w:styleId="79">
    <w:name w:val="Char Char19"/>
    <w:qFormat/>
    <w:uiPriority w:val="0"/>
    <w:rPr>
      <w:rFonts w:ascii="Calibri" w:hAnsi="Calibri" w:eastAsia="宋体" w:cs="Times New Roman"/>
      <w:b/>
      <w:bCs/>
      <w:sz w:val="24"/>
      <w:szCs w:val="24"/>
    </w:rPr>
  </w:style>
  <w:style w:type="character" w:customStyle="1" w:styleId="80">
    <w:name w:val="页眉 Char"/>
    <w:link w:val="26"/>
    <w:qFormat/>
    <w:uiPriority w:val="0"/>
    <w:rPr>
      <w:rFonts w:eastAsia="宋体"/>
      <w:kern w:val="2"/>
      <w:sz w:val="18"/>
      <w:lang w:val="en-US" w:eastAsia="zh-CN" w:bidi="ar-SA"/>
    </w:rPr>
  </w:style>
  <w:style w:type="character" w:customStyle="1" w:styleId="81">
    <w:name w:val="引用 Char1"/>
    <w:qFormat/>
    <w:uiPriority w:val="0"/>
    <w:rPr>
      <w:rFonts w:ascii="Times New Roman" w:hAnsi="Times New Roman" w:eastAsia="宋体" w:cs="Times New Roman"/>
      <w:i/>
      <w:iCs/>
      <w:color w:val="000000"/>
      <w:szCs w:val="24"/>
    </w:rPr>
  </w:style>
  <w:style w:type="character" w:customStyle="1" w:styleId="82">
    <w:name w:val="Char Char6"/>
    <w:qFormat/>
    <w:uiPriority w:val="0"/>
    <w:rPr>
      <w:rFonts w:ascii="Times New Roman" w:hAnsi="Times New Roman" w:eastAsia="宋体" w:cs="Times New Roman"/>
      <w:sz w:val="28"/>
      <w:szCs w:val="24"/>
    </w:rPr>
  </w:style>
  <w:style w:type="character" w:customStyle="1" w:styleId="83">
    <w:name w:val="Char Char16"/>
    <w:qFormat/>
    <w:uiPriority w:val="0"/>
    <w:rPr>
      <w:sz w:val="18"/>
      <w:szCs w:val="18"/>
    </w:rPr>
  </w:style>
  <w:style w:type="character" w:customStyle="1" w:styleId="84">
    <w:name w:val="bigfont"/>
    <w:basedOn w:val="44"/>
    <w:qFormat/>
    <w:uiPriority w:val="0"/>
  </w:style>
  <w:style w:type="character" w:customStyle="1" w:styleId="85">
    <w:name w:val="Char Char25"/>
    <w:qFormat/>
    <w:uiPriority w:val="0"/>
    <w:rPr>
      <w:rFonts w:ascii="宋体" w:hAnsi="宋体" w:eastAsia="宋体" w:cs="宋体"/>
      <w:b/>
      <w:bCs/>
      <w:kern w:val="0"/>
      <w:sz w:val="44"/>
      <w:szCs w:val="32"/>
    </w:rPr>
  </w:style>
  <w:style w:type="character" w:customStyle="1" w:styleId="86">
    <w:name w:val="书籍标题1"/>
    <w:qFormat/>
    <w:uiPriority w:val="0"/>
    <w:rPr>
      <w:b/>
      <w:bCs/>
      <w:smallCaps/>
      <w:spacing w:val="5"/>
    </w:rPr>
  </w:style>
  <w:style w:type="character" w:customStyle="1" w:styleId="87">
    <w:name w:val="明显引用 Char"/>
    <w:qFormat/>
    <w:uiPriority w:val="0"/>
    <w:rPr>
      <w:rFonts w:ascii="Calibri" w:hAnsi="Calibri"/>
      <w:b/>
      <w:bCs/>
      <w:i/>
      <w:iCs/>
      <w:color w:val="4F81BD"/>
    </w:rPr>
  </w:style>
  <w:style w:type="character" w:customStyle="1" w:styleId="88">
    <w:name w:val="Char Char7"/>
    <w:qFormat/>
    <w:uiPriority w:val="0"/>
    <w:rPr>
      <w:rFonts w:ascii="黑体" w:hAnsi="Times New Roman" w:eastAsia="黑体" w:cs="Times New Roman"/>
      <w:color w:val="000000"/>
      <w:sz w:val="24"/>
      <w:szCs w:val="24"/>
    </w:rPr>
  </w:style>
  <w:style w:type="character" w:customStyle="1" w:styleId="89">
    <w:name w:val="Char Char20"/>
    <w:qFormat/>
    <w:uiPriority w:val="0"/>
    <w:rPr>
      <w:rFonts w:ascii="Cambria" w:hAnsi="Cambria" w:eastAsia="宋体" w:cs="Times New Roman"/>
      <w:b/>
      <w:bCs/>
      <w:sz w:val="24"/>
      <w:szCs w:val="24"/>
    </w:rPr>
  </w:style>
  <w:style w:type="character" w:customStyle="1" w:styleId="90">
    <w:name w:val="普通文字 Char Char Char Char Char"/>
    <w:qFormat/>
    <w:uiPriority w:val="0"/>
    <w:rPr>
      <w:rFonts w:ascii="宋体" w:hAnsi="Courier New" w:eastAsia="宋体"/>
      <w:kern w:val="2"/>
      <w:sz w:val="21"/>
      <w:lang w:val="en-US" w:eastAsia="zh-CN" w:bidi="ar-SA"/>
    </w:rPr>
  </w:style>
  <w:style w:type="character" w:customStyle="1" w:styleId="91">
    <w:name w:val="不明显参考1"/>
    <w:qFormat/>
    <w:uiPriority w:val="0"/>
    <w:rPr>
      <w:smallCaps/>
      <w:color w:val="C0504D"/>
      <w:u w:val="single"/>
    </w:rPr>
  </w:style>
  <w:style w:type="character" w:customStyle="1" w:styleId="92">
    <w:name w:val="Char Char23"/>
    <w:qFormat/>
    <w:uiPriority w:val="0"/>
    <w:rPr>
      <w:rFonts w:ascii="Times New Roman" w:hAnsi="Times New Roman" w:eastAsia="宋体" w:cs="Times New Roman"/>
      <w:b/>
      <w:bCs/>
      <w:sz w:val="32"/>
      <w:szCs w:val="32"/>
    </w:rPr>
  </w:style>
  <w:style w:type="character" w:customStyle="1" w:styleId="93">
    <w:name w:val="l151"/>
    <w:basedOn w:val="44"/>
    <w:qFormat/>
    <w:uiPriority w:val="0"/>
  </w:style>
  <w:style w:type="character" w:customStyle="1" w:styleId="94">
    <w:name w:val="不明显强调1"/>
    <w:qFormat/>
    <w:uiPriority w:val="0"/>
    <w:rPr>
      <w:i/>
      <w:iCs/>
      <w:color w:val="808080"/>
    </w:rPr>
  </w:style>
  <w:style w:type="paragraph" w:styleId="9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
    <w:name w:val="xl37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7">
    <w:name w:val="默认段落字体 Para Char Char Char Char Char Char Char Char Char Char"/>
    <w:basedOn w:val="1"/>
    <w:qFormat/>
    <w:uiPriority w:val="0"/>
    <w:rPr>
      <w:rFonts w:ascii="Tahoma" w:hAnsi="Tahoma"/>
      <w:b/>
      <w:sz w:val="24"/>
    </w:rPr>
  </w:style>
  <w:style w:type="paragraph" w:customStyle="1" w:styleId="9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99">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00">
    <w:name w:val="Char Char Char1 Char"/>
    <w:basedOn w:val="1"/>
    <w:qFormat/>
    <w:uiPriority w:val="0"/>
    <w:rPr>
      <w:szCs w:val="24"/>
    </w:rPr>
  </w:style>
  <w:style w:type="paragraph" w:customStyle="1" w:styleId="101">
    <w:name w:val="xl22"/>
    <w:basedOn w:val="1"/>
    <w:qFormat/>
    <w:uiPriority w:val="0"/>
    <w:pPr>
      <w:widowControl/>
      <w:spacing w:before="100" w:beforeAutospacing="1" w:after="100" w:afterAutospacing="1"/>
      <w:jc w:val="center"/>
    </w:pPr>
    <w:rPr>
      <w:rFonts w:ascii="宋体" w:hAnsi="宋体"/>
      <w:kern w:val="0"/>
      <w:sz w:val="24"/>
      <w:szCs w:val="24"/>
    </w:rPr>
  </w:style>
  <w:style w:type="paragraph" w:customStyle="1" w:styleId="102">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kern w:val="0"/>
      <w:sz w:val="24"/>
      <w:szCs w:val="24"/>
    </w:rPr>
  </w:style>
  <w:style w:type="paragraph" w:styleId="103">
    <w:name w:val="List Paragraph"/>
    <w:basedOn w:val="1"/>
    <w:qFormat/>
    <w:uiPriority w:val="34"/>
    <w:pPr>
      <w:ind w:firstLine="420" w:firstLineChars="200"/>
    </w:pPr>
    <w:rPr>
      <w:rFonts w:ascii="Calibri" w:hAnsi="Calibri"/>
      <w:szCs w:val="22"/>
    </w:rPr>
  </w:style>
  <w:style w:type="paragraph" w:customStyle="1" w:styleId="104">
    <w:name w:val="xl99"/>
    <w:basedOn w:val="1"/>
    <w:qFormat/>
    <w:uiPriority w:val="0"/>
    <w:pPr>
      <w:widowControl/>
      <w:pBdr>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0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6">
    <w:name w:val="xl3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07">
    <w:name w:val="xl3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08">
    <w:name w:val="xl98"/>
    <w:basedOn w:val="1"/>
    <w:qFormat/>
    <w:uiPriority w:val="0"/>
    <w:pPr>
      <w:widowControl/>
      <w:pBdr>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10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ourier New" w:hAnsi="Courier New" w:cs="Courier New"/>
      <w:kern w:val="0"/>
      <w:sz w:val="20"/>
    </w:rPr>
  </w:style>
  <w:style w:type="paragraph" w:customStyle="1" w:styleId="110">
    <w:name w:val="font9"/>
    <w:basedOn w:val="1"/>
    <w:qFormat/>
    <w:uiPriority w:val="0"/>
    <w:pPr>
      <w:widowControl/>
      <w:spacing w:before="100" w:beforeAutospacing="1" w:after="100" w:afterAutospacing="1"/>
      <w:jc w:val="left"/>
    </w:pPr>
    <w:rPr>
      <w:kern w:val="0"/>
      <w:sz w:val="20"/>
    </w:rPr>
  </w:style>
  <w:style w:type="paragraph" w:customStyle="1" w:styleId="11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rPr>
  </w:style>
  <w:style w:type="paragraph" w:customStyle="1" w:styleId="112">
    <w:name w:val="xl3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4"/>
      <w:szCs w:val="24"/>
    </w:rPr>
  </w:style>
  <w:style w:type="paragraph" w:customStyle="1" w:styleId="113">
    <w:name w:val="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xl3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5">
    <w:name w:val="Char1"/>
    <w:basedOn w:val="1"/>
    <w:qFormat/>
    <w:uiPriority w:val="0"/>
    <w:rPr>
      <w:rFonts w:ascii="Tahoma" w:hAnsi="Tahoma" w:eastAsia="仿宋_GB2312"/>
      <w:sz w:val="24"/>
    </w:rPr>
  </w:style>
  <w:style w:type="paragraph" w:customStyle="1" w:styleId="11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rPr>
  </w:style>
  <w:style w:type="paragraph" w:customStyle="1" w:styleId="117">
    <w:name w:val="xl9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18">
    <w:name w:val="xl3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119">
    <w:name w:val="Char"/>
    <w:basedOn w:val="1"/>
    <w:qFormat/>
    <w:uiPriority w:val="0"/>
    <w:rPr>
      <w:rFonts w:ascii="Tahoma" w:hAnsi="Tahoma"/>
      <w:sz w:val="24"/>
    </w:rPr>
  </w:style>
  <w:style w:type="paragraph" w:customStyle="1" w:styleId="120">
    <w:name w:val="列出段落1"/>
    <w:basedOn w:val="1"/>
    <w:qFormat/>
    <w:uiPriority w:val="0"/>
    <w:pPr>
      <w:ind w:firstLine="420" w:firstLineChars="200"/>
    </w:pPr>
    <w:rPr>
      <w:szCs w:val="24"/>
    </w:rPr>
  </w:style>
  <w:style w:type="paragraph" w:customStyle="1" w:styleId="121">
    <w:name w:val="xl374"/>
    <w:basedOn w:val="1"/>
    <w:qFormat/>
    <w:uiPriority w:val="0"/>
    <w:pPr>
      <w:widowControl/>
      <w:spacing w:before="100" w:beforeAutospacing="1" w:after="100" w:afterAutospacing="1"/>
      <w:jc w:val="center"/>
    </w:pPr>
    <w:rPr>
      <w:rFonts w:ascii="宋体" w:hAnsi="宋体" w:cs="宋体"/>
      <w:b/>
      <w:bCs/>
      <w:kern w:val="0"/>
      <w:sz w:val="36"/>
      <w:szCs w:val="36"/>
    </w:rPr>
  </w:style>
  <w:style w:type="paragraph" w:customStyle="1" w:styleId="122">
    <w:name w:val="1 Char"/>
    <w:basedOn w:val="1"/>
    <w:qFormat/>
    <w:uiPriority w:val="0"/>
    <w:pPr>
      <w:widowControl/>
      <w:spacing w:after="160" w:line="240" w:lineRule="exact"/>
      <w:jc w:val="left"/>
    </w:pPr>
    <w:rPr>
      <w:rFonts w:ascii="Verdana" w:hAnsi="Verdana"/>
      <w:kern w:val="0"/>
      <w:sz w:val="20"/>
      <w:lang w:eastAsia="en-US"/>
    </w:rPr>
  </w:style>
  <w:style w:type="paragraph" w:customStyle="1" w:styleId="123">
    <w:name w:val="样式3"/>
    <w:basedOn w:val="21"/>
    <w:qFormat/>
    <w:uiPriority w:val="0"/>
    <w:pPr>
      <w:spacing w:line="240" w:lineRule="atLeast"/>
      <w:outlineLvl w:val="0"/>
    </w:pPr>
    <w:rPr>
      <w:kern w:val="0"/>
      <w:sz w:val="28"/>
    </w:rPr>
  </w:style>
  <w:style w:type="paragraph" w:customStyle="1" w:styleId="12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0"/>
    </w:rPr>
  </w:style>
  <w:style w:type="paragraph" w:customStyle="1" w:styleId="125">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126">
    <w:name w:val="Char Char1 Char Char Char Char Char Char Char"/>
    <w:basedOn w:val="1"/>
    <w:qFormat/>
    <w:uiPriority w:val="0"/>
    <w:rPr>
      <w:rFonts w:ascii="Tahoma" w:hAnsi="Tahoma"/>
      <w:sz w:val="24"/>
    </w:rPr>
  </w:style>
  <w:style w:type="paragraph" w:customStyle="1" w:styleId="127">
    <w:name w:val="Char Char Char Char Char Char Char Char Char Char Char Char Char"/>
    <w:basedOn w:val="13"/>
    <w:qFormat/>
    <w:uiPriority w:val="0"/>
  </w:style>
  <w:style w:type="paragraph" w:customStyle="1" w:styleId="128">
    <w:name w:val="xl36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xl97"/>
    <w:basedOn w:val="1"/>
    <w:qFormat/>
    <w:uiPriority w:val="0"/>
    <w:pPr>
      <w:widowControl/>
      <w:pBdr>
        <w:left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130">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31">
    <w:name w:val="font10"/>
    <w:basedOn w:val="1"/>
    <w:qFormat/>
    <w:uiPriority w:val="0"/>
    <w:pPr>
      <w:widowControl/>
      <w:spacing w:before="100" w:beforeAutospacing="1" w:after="100" w:afterAutospacing="1"/>
      <w:jc w:val="left"/>
    </w:pPr>
    <w:rPr>
      <w:rFonts w:ascii="黑体" w:hAnsi="宋体" w:eastAsia="黑体" w:cs="宋体"/>
      <w:b/>
      <w:bCs/>
      <w:kern w:val="0"/>
      <w:sz w:val="24"/>
      <w:szCs w:val="24"/>
    </w:rPr>
  </w:style>
  <w:style w:type="paragraph" w:customStyle="1" w:styleId="132">
    <w:name w:val="msolistparagraph"/>
    <w:basedOn w:val="1"/>
    <w:qFormat/>
    <w:uiPriority w:val="0"/>
    <w:pPr>
      <w:ind w:firstLine="420" w:firstLineChars="200"/>
    </w:pPr>
    <w:rPr>
      <w:szCs w:val="24"/>
    </w:rPr>
  </w:style>
  <w:style w:type="paragraph" w:customStyle="1" w:styleId="133">
    <w:name w:val="xl96"/>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34">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35">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3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37">
    <w:name w:val="样式 样式 标题 2 + 行距: 1.5 倍行距 + 黑体"/>
    <w:basedOn w:val="1"/>
    <w:qFormat/>
    <w:uiPriority w:val="0"/>
    <w:pPr>
      <w:keepNext/>
      <w:keepLines/>
      <w:spacing w:before="260" w:after="260" w:line="360" w:lineRule="auto"/>
      <w:jc w:val="center"/>
      <w:outlineLvl w:val="1"/>
    </w:pPr>
    <w:rPr>
      <w:rFonts w:ascii="黑体" w:hAnsi="黑体" w:eastAsia="黑体" w:cs="宋体"/>
      <w:b/>
      <w:bCs/>
      <w:kern w:val="0"/>
      <w:sz w:val="36"/>
    </w:rPr>
  </w:style>
  <w:style w:type="paragraph" w:customStyle="1" w:styleId="138">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color w:val="000000"/>
      <w:kern w:val="0"/>
      <w:sz w:val="20"/>
    </w:rPr>
  </w:style>
  <w:style w:type="paragraph" w:customStyle="1" w:styleId="140">
    <w:name w:val="xl36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1">
    <w:name w:val="xl37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42">
    <w:name w:val="xl3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43">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rPr>
  </w:style>
  <w:style w:type="paragraph" w:customStyle="1" w:styleId="144">
    <w:name w:val="font8"/>
    <w:basedOn w:val="1"/>
    <w:qFormat/>
    <w:uiPriority w:val="0"/>
    <w:pPr>
      <w:widowControl/>
      <w:spacing w:before="100" w:beforeAutospacing="1" w:after="100" w:afterAutospacing="1"/>
      <w:jc w:val="left"/>
    </w:pPr>
    <w:rPr>
      <w:rFonts w:hint="eastAsia" w:ascii="宋体" w:hAnsi="宋体"/>
      <w:b/>
      <w:bCs/>
      <w:kern w:val="0"/>
      <w:szCs w:val="21"/>
    </w:rPr>
  </w:style>
  <w:style w:type="paragraph" w:customStyle="1" w:styleId="145">
    <w:name w:val="xl3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4"/>
      <w:szCs w:val="24"/>
    </w:rPr>
  </w:style>
  <w:style w:type="paragraph" w:customStyle="1" w:styleId="14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969696"/>
      <w:spacing w:before="100" w:beforeAutospacing="1" w:after="100" w:afterAutospacing="1"/>
      <w:jc w:val="center"/>
    </w:pPr>
    <w:rPr>
      <w:rFonts w:ascii="宋体" w:hAnsi="宋体" w:cs="宋体"/>
      <w:b/>
      <w:bCs/>
      <w:kern w:val="0"/>
      <w:sz w:val="24"/>
      <w:szCs w:val="24"/>
    </w:rPr>
  </w:style>
  <w:style w:type="paragraph" w:customStyle="1" w:styleId="147">
    <w:name w:val="正文文字2"/>
    <w:basedOn w:val="16"/>
    <w:qFormat/>
    <w:uiPriority w:val="0"/>
    <w:pPr>
      <w:adjustRightInd w:val="0"/>
      <w:spacing w:after="60" w:line="360" w:lineRule="atLeast"/>
      <w:ind w:left="72" w:leftChars="30" w:right="72" w:rightChars="30"/>
      <w:jc w:val="center"/>
      <w:textAlignment w:val="baseline"/>
    </w:pPr>
    <w:rPr>
      <w:rFonts w:hAnsi="Times New Roman" w:eastAsia="黑体"/>
      <w:kern w:val="0"/>
      <w:sz w:val="21"/>
    </w:rPr>
  </w:style>
  <w:style w:type="paragraph" w:customStyle="1" w:styleId="148">
    <w:name w:val="font7"/>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D&amp;L"/>
    <w:basedOn w:val="26"/>
    <w:qFormat/>
    <w:uiPriority w:val="0"/>
    <w:pPr>
      <w:pBdr>
        <w:bottom w:val="thinThickSmallGap" w:color="auto" w:sz="18" w:space="1"/>
      </w:pBdr>
      <w:adjustRightInd w:val="0"/>
      <w:snapToGrid/>
      <w:spacing w:line="240" w:lineRule="atLeast"/>
      <w:textAlignment w:val="baseline"/>
    </w:pPr>
    <w:rPr>
      <w:rFonts w:ascii="仿宋_GB2312" w:eastAsia="仿宋_GB2312"/>
      <w:kern w:val="0"/>
      <w:sz w:val="24"/>
      <w:szCs w:val="32"/>
    </w:rPr>
  </w:style>
  <w:style w:type="paragraph" w:customStyle="1" w:styleId="150">
    <w:name w:val="Char Char1"/>
    <w:basedOn w:val="1"/>
    <w:qFormat/>
    <w:uiPriority w:val="0"/>
    <w:rPr>
      <w:szCs w:val="24"/>
    </w:rPr>
  </w:style>
  <w:style w:type="paragraph" w:customStyle="1" w:styleId="151">
    <w:name w:val="xl7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52">
    <w:name w:val="xl3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153">
    <w:name w:val="Char Char Char Char Char Char Char Char Char Char Char Char Char1"/>
    <w:basedOn w:val="13"/>
    <w:qFormat/>
    <w:uiPriority w:val="0"/>
    <w:rPr>
      <w:rFonts w:ascii="Tahoma" w:hAnsi="Tahoma"/>
      <w:sz w:val="24"/>
    </w:rPr>
  </w:style>
  <w:style w:type="paragraph" w:customStyle="1" w:styleId="154">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55">
    <w:name w:val="p0"/>
    <w:basedOn w:val="1"/>
    <w:qFormat/>
    <w:uiPriority w:val="0"/>
    <w:pPr>
      <w:widowControl/>
      <w:jc w:val="left"/>
    </w:pPr>
    <w:rPr>
      <w:rFonts w:ascii="宋体" w:hAnsi="宋体" w:cs="宋体"/>
      <w:kern w:val="0"/>
      <w:sz w:val="18"/>
      <w:szCs w:val="18"/>
    </w:rPr>
  </w:style>
  <w:style w:type="paragraph" w:customStyle="1" w:styleId="156">
    <w:name w:val="标题2"/>
    <w:basedOn w:val="28"/>
    <w:qFormat/>
    <w:uiPriority w:val="0"/>
    <w:rPr>
      <w:rFonts w:ascii="隶书" w:hAnsi="宋体" w:eastAsia="隶书"/>
      <w:kern w:val="0"/>
      <w:sz w:val="36"/>
      <w:szCs w:val="36"/>
    </w:rPr>
  </w:style>
  <w:style w:type="paragraph" w:customStyle="1" w:styleId="157">
    <w:name w:val="xl3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58">
    <w:name w:val="xl95"/>
    <w:basedOn w:val="1"/>
    <w:qFormat/>
    <w:uiPriority w:val="0"/>
    <w:pPr>
      <w:widowControl/>
      <w:pBdr>
        <w:right w:val="single" w:color="auto" w:sz="4" w:space="0"/>
      </w:pBdr>
      <w:spacing w:before="100" w:beforeAutospacing="1" w:after="100" w:afterAutospacing="1"/>
      <w:jc w:val="center"/>
    </w:pPr>
    <w:rPr>
      <w:rFonts w:ascii="宋体" w:hAnsi="宋体" w:cs="宋体"/>
      <w:kern w:val="0"/>
      <w:sz w:val="20"/>
    </w:rPr>
  </w:style>
  <w:style w:type="paragraph" w:customStyle="1" w:styleId="15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rPr>
  </w:style>
  <w:style w:type="paragraph" w:customStyle="1" w:styleId="160">
    <w:name w:val="Char Char Char Char"/>
    <w:basedOn w:val="1"/>
    <w:qFormat/>
    <w:uiPriority w:val="0"/>
  </w:style>
  <w:style w:type="paragraph" w:customStyle="1" w:styleId="161">
    <w:name w:val="xl356"/>
    <w:basedOn w:val="1"/>
    <w:qFormat/>
    <w:uiPriority w:val="0"/>
    <w:pPr>
      <w:widowControl/>
      <w:spacing w:before="100" w:beforeAutospacing="1" w:after="100" w:afterAutospacing="1"/>
      <w:jc w:val="center"/>
    </w:pPr>
    <w:rPr>
      <w:kern w:val="0"/>
      <w:sz w:val="24"/>
      <w:szCs w:val="24"/>
    </w:rPr>
  </w:style>
  <w:style w:type="paragraph" w:customStyle="1" w:styleId="162">
    <w:name w:val="xl94"/>
    <w:basedOn w:val="1"/>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63">
    <w:name w:val="xl81"/>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64">
    <w:name w:val="Char2"/>
    <w:basedOn w:val="1"/>
    <w:uiPriority w:val="0"/>
    <w:rPr>
      <w:rFonts w:ascii="Tahoma" w:hAnsi="Tahoma"/>
      <w:sz w:val="24"/>
    </w:rPr>
  </w:style>
  <w:style w:type="paragraph" w:customStyle="1" w:styleId="165">
    <w:name w:val="Char1 Char Char Char Char Char Char"/>
    <w:basedOn w:val="1"/>
    <w:uiPriority w:val="0"/>
  </w:style>
  <w:style w:type="paragraph" w:customStyle="1" w:styleId="16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2"/>
      <w:szCs w:val="22"/>
    </w:rPr>
  </w:style>
  <w:style w:type="paragraph" w:customStyle="1" w:styleId="167">
    <w:name w:val="xl361"/>
    <w:basedOn w:val="1"/>
    <w:uiPriority w:val="0"/>
    <w:pPr>
      <w:widowControl/>
      <w:spacing w:before="100" w:beforeAutospacing="1" w:after="100" w:afterAutospacing="1"/>
      <w:jc w:val="center"/>
    </w:pPr>
    <w:rPr>
      <w:kern w:val="0"/>
      <w:sz w:val="24"/>
      <w:szCs w:val="24"/>
    </w:rPr>
  </w:style>
  <w:style w:type="paragraph" w:customStyle="1" w:styleId="168">
    <w:name w:val="xl83"/>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69">
    <w:name w:val="修订1"/>
    <w:uiPriority w:val="0"/>
    <w:rPr>
      <w:rFonts w:ascii="Calibri" w:hAnsi="Calibri" w:eastAsia="宋体" w:cs="Times New Roman"/>
      <w:kern w:val="2"/>
      <w:sz w:val="21"/>
      <w:szCs w:val="22"/>
      <w:lang w:val="en-US" w:eastAsia="zh-CN" w:bidi="ar-SA"/>
    </w:rPr>
  </w:style>
  <w:style w:type="paragraph" w:customStyle="1" w:styleId="170">
    <w:name w:val="2册标题2"/>
    <w:basedOn w:val="1"/>
    <w:next w:val="1"/>
    <w:uiPriority w:val="0"/>
    <w:pPr>
      <w:spacing w:beforeLines="50" w:afterLines="50" w:line="300" w:lineRule="auto"/>
      <w:outlineLvl w:val="1"/>
    </w:pPr>
    <w:rPr>
      <w:rFonts w:ascii="Arial" w:hAnsi="Arial" w:eastAsia="黑体"/>
      <w:sz w:val="30"/>
      <w:szCs w:val="30"/>
    </w:rPr>
  </w:style>
  <w:style w:type="paragraph" w:customStyle="1" w:styleId="171">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72">
    <w:name w:val="TOC 标题1"/>
    <w:basedOn w:val="2"/>
    <w:next w:val="1"/>
    <w:qFormat/>
    <w:uiPriority w:val="0"/>
    <w:pPr>
      <w:keepLines/>
      <w:numPr>
        <w:numId w:val="0"/>
      </w:numPr>
      <w:spacing w:before="340" w:after="330" w:line="578" w:lineRule="auto"/>
      <w:outlineLvl w:val="9"/>
    </w:pPr>
    <w:rPr>
      <w:rFonts w:ascii="Calibri" w:hAnsi="Calibri" w:eastAsia="宋体"/>
      <w:b/>
      <w:bCs/>
      <w:kern w:val="44"/>
      <w:sz w:val="40"/>
      <w:szCs w:val="44"/>
    </w:rPr>
  </w:style>
  <w:style w:type="paragraph" w:customStyle="1" w:styleId="17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75">
    <w:name w:val="Char Char Char"/>
    <w:basedOn w:val="1"/>
    <w:uiPriority w:val="0"/>
    <w:rPr>
      <w:szCs w:val="21"/>
    </w:rPr>
  </w:style>
  <w:style w:type="paragraph" w:customStyle="1" w:styleId="176">
    <w:name w:val="xl35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7">
    <w:name w:val="xl35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78">
    <w:name w:val="1 Char Char Char Char"/>
    <w:basedOn w:val="1"/>
    <w:uiPriority w:val="0"/>
    <w:rPr>
      <w:rFonts w:ascii="Tahoma" w:hAnsi="Tahoma"/>
      <w:sz w:val="24"/>
    </w:rPr>
  </w:style>
  <w:style w:type="paragraph" w:customStyle="1" w:styleId="179">
    <w:name w:val="xl3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0">
    <w:name w:val="xl3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81">
    <w:name w:val="xl75"/>
    <w:basedOn w:val="1"/>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182">
    <w:name w:val="xl31"/>
    <w:basedOn w:val="1"/>
    <w:uiPriority w:val="0"/>
    <w:pPr>
      <w:widowControl/>
      <w:spacing w:before="100" w:beforeAutospacing="1" w:after="100" w:afterAutospacing="1"/>
      <w:jc w:val="center"/>
    </w:pPr>
    <w:rPr>
      <w:rFonts w:ascii="宋体" w:hAnsi="宋体" w:eastAsia="仿宋_GB2312"/>
      <w:b/>
      <w:bCs/>
      <w:kern w:val="0"/>
      <w:sz w:val="28"/>
      <w:szCs w:val="28"/>
    </w:rPr>
  </w:style>
  <w:style w:type="paragraph" w:styleId="183">
    <w:name w:val="Intense Quote"/>
    <w:basedOn w:val="1"/>
    <w:next w:val="1"/>
    <w:qFormat/>
    <w:uiPriority w:val="0"/>
    <w:pPr>
      <w:pBdr>
        <w:bottom w:val="single" w:color="4F81BD" w:sz="4" w:space="4"/>
      </w:pBdr>
      <w:spacing w:before="200" w:after="280"/>
      <w:ind w:left="936" w:right="936"/>
    </w:pPr>
    <w:rPr>
      <w:rFonts w:ascii="Calibri" w:hAnsi="Calibri"/>
      <w:b/>
      <w:bCs/>
      <w:i/>
      <w:iCs/>
      <w:color w:val="4F81BD"/>
      <w:kern w:val="0"/>
      <w:sz w:val="20"/>
    </w:rPr>
  </w:style>
  <w:style w:type="paragraph" w:customStyle="1" w:styleId="184">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宋体" w:eastAsia="黑体" w:cs="宋体"/>
      <w:b/>
      <w:bCs/>
      <w:kern w:val="0"/>
      <w:sz w:val="22"/>
      <w:szCs w:val="22"/>
    </w:rPr>
  </w:style>
  <w:style w:type="paragraph" w:customStyle="1" w:styleId="185">
    <w:name w:val="xl3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86">
    <w:name w:val="xl3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87">
    <w:name w:val="Char Char Char Char Char Char Char Char Char Char Char Char Char Char Char Char"/>
    <w:basedOn w:val="1"/>
    <w:uiPriority w:val="0"/>
    <w:pPr>
      <w:snapToGrid w:val="0"/>
      <w:spacing w:line="360" w:lineRule="auto"/>
      <w:ind w:firstLine="200" w:firstLineChars="200"/>
    </w:pPr>
    <w:rPr>
      <w:rFonts w:eastAsia="仿宋_GB2312"/>
      <w:sz w:val="24"/>
      <w:szCs w:val="24"/>
    </w:rPr>
  </w:style>
  <w:style w:type="paragraph" w:customStyle="1" w:styleId="188">
    <w:name w:val="xl35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89">
    <w:name w:val="图表注释"/>
    <w:basedOn w:val="1"/>
    <w:qFormat/>
    <w:uiPriority w:val="0"/>
    <w:pPr>
      <w:widowControl/>
      <w:spacing w:before="156" w:after="156"/>
      <w:jc w:val="center"/>
    </w:pPr>
    <w:rPr>
      <w:rFonts w:ascii="Calibri" w:hAnsi="Calibri" w:eastAsia="楷体_GB2312"/>
      <w:kern w:val="0"/>
      <w:sz w:val="20"/>
    </w:rPr>
  </w:style>
  <w:style w:type="paragraph" w:customStyle="1" w:styleId="190">
    <w:name w:val="xl358"/>
    <w:basedOn w:val="1"/>
    <w:uiPriority w:val="0"/>
    <w:pPr>
      <w:widowControl/>
      <w:spacing w:before="100" w:beforeAutospacing="1" w:after="100" w:afterAutospacing="1"/>
      <w:jc w:val="center"/>
    </w:pPr>
    <w:rPr>
      <w:kern w:val="0"/>
      <w:sz w:val="24"/>
      <w:szCs w:val="24"/>
    </w:rPr>
  </w:style>
  <w:style w:type="paragraph" w:styleId="191">
    <w:name w:val="Quote"/>
    <w:basedOn w:val="1"/>
    <w:next w:val="1"/>
    <w:qFormat/>
    <w:uiPriority w:val="0"/>
    <w:rPr>
      <w:rFonts w:ascii="Calibri" w:hAnsi="Calibri"/>
      <w:i/>
      <w:iCs/>
      <w:color w:val="000000"/>
      <w:kern w:val="0"/>
      <w:sz w:val="20"/>
    </w:rPr>
  </w:style>
  <w:style w:type="paragraph" w:customStyle="1" w:styleId="192">
    <w:name w:val="xl73"/>
    <w:basedOn w:val="1"/>
    <w:qFormat/>
    <w:uiPriority w:val="0"/>
    <w:pPr>
      <w:widowControl/>
      <w:spacing w:before="100" w:beforeAutospacing="1" w:after="100" w:afterAutospacing="1"/>
      <w:jc w:val="center"/>
    </w:pPr>
    <w:rPr>
      <w:rFonts w:ascii="宋体" w:hAnsi="宋体" w:cs="宋体"/>
      <w:kern w:val="0"/>
      <w:sz w:val="20"/>
    </w:rPr>
  </w:style>
  <w:style w:type="character" w:customStyle="1" w:styleId="193">
    <w:name w:val="fontstyle01"/>
    <w:qFormat/>
    <w:uiPriority w:val="0"/>
    <w:rPr>
      <w:rFonts w:ascii="HYb2gj" w:hAnsi="HYb2gj" w:eastAsia="Times New Roman" w:cs="HYb2gj"/>
      <w:color w:val="000000"/>
      <w:sz w:val="22"/>
      <w:szCs w:val="22"/>
    </w:rPr>
  </w:style>
  <w:style w:type="character" w:customStyle="1" w:styleId="194">
    <w:name w:val="正文文本 Char"/>
    <w:basedOn w:val="44"/>
    <w:link w:val="16"/>
    <w:qFormat/>
    <w:uiPriority w:val="0"/>
    <w:rPr>
      <w:rFonts w:ascii="Arial" w:hAnsi="Arial" w:eastAsia="仿宋_GB2312"/>
      <w:kern w:val="2"/>
      <w:sz w:val="32"/>
    </w:rPr>
  </w:style>
  <w:style w:type="character" w:customStyle="1" w:styleId="195">
    <w:name w:val="正文首行缩进 Char"/>
    <w:basedOn w:val="194"/>
    <w:link w:val="39"/>
    <w:qFormat/>
    <w:uiPriority w:val="0"/>
    <w:rPr>
      <w:rFonts w:ascii="Arial" w:hAnsi="Arial" w:eastAsia="仿宋_GB2312"/>
      <w:kern w:val="2"/>
      <w:sz w:val="21"/>
    </w:rPr>
  </w:style>
  <w:style w:type="paragraph" w:customStyle="1" w:styleId="196">
    <w:name w:val="列出段落6"/>
    <w:basedOn w:val="1"/>
    <w:unhideWhenUsed/>
    <w:qFormat/>
    <w:uiPriority w:val="99"/>
    <w:pPr>
      <w:spacing w:line="360" w:lineRule="auto"/>
      <w:ind w:firstLine="420" w:firstLineChars="200"/>
    </w:pPr>
    <w:rPr>
      <w:rFonts w:ascii="微软雅黑" w:hAnsi="微软雅黑" w:eastAsia="微软雅黑" w:cs="微软雅黑"/>
      <w:szCs w:val="21"/>
    </w:rPr>
  </w:style>
  <w:style w:type="paragraph" w:customStyle="1" w:styleId="197">
    <w:name w:val="_Style 2"/>
    <w:basedOn w:val="1"/>
    <w:qFormat/>
    <w:uiPriority w:val="0"/>
    <w:pPr>
      <w:spacing w:line="360" w:lineRule="auto"/>
      <w:ind w:firstLine="420" w:firstLineChars="200"/>
    </w:pPr>
    <w:rPr>
      <w:rFonts w:ascii="微软雅黑" w:hAnsi="微软雅黑" w:eastAsia="微软雅黑" w:cs="微软雅黑"/>
      <w:szCs w:val="21"/>
    </w:rPr>
  </w:style>
  <w:style w:type="paragraph" w:customStyle="1" w:styleId="198">
    <w:name w:val="表格文字"/>
    <w:basedOn w:val="1"/>
    <w:qFormat/>
    <w:uiPriority w:val="0"/>
    <w:pPr>
      <w:spacing w:line="360" w:lineRule="auto"/>
    </w:pPr>
    <w:rPr>
      <w:rFonts w:ascii="微软雅黑" w:hAnsi="微软雅黑" w:eastAsia="微软雅黑" w:cs="微软雅黑"/>
      <w:szCs w:val="21"/>
    </w:rPr>
  </w:style>
  <w:style w:type="paragraph" w:customStyle="1" w:styleId="199">
    <w:name w:val="列出段落2"/>
    <w:basedOn w:val="1"/>
    <w:qFormat/>
    <w:uiPriority w:val="99"/>
    <w:pPr>
      <w:spacing w:line="360" w:lineRule="auto"/>
      <w:ind w:firstLine="420" w:firstLineChars="200"/>
    </w:pPr>
    <w:rPr>
      <w:rFonts w:ascii="微软雅黑" w:hAnsi="微软雅黑" w:eastAsia="微软雅黑" w:cs="微软雅黑"/>
      <w:szCs w:val="21"/>
    </w:rPr>
  </w:style>
  <w:style w:type="paragraph" w:customStyle="1" w:styleId="200">
    <w:name w:val="列出段落3"/>
    <w:basedOn w:val="1"/>
    <w:qFormat/>
    <w:uiPriority w:val="99"/>
    <w:pPr>
      <w:ind w:firstLine="420" w:firstLineChars="200"/>
    </w:pPr>
    <w:rPr>
      <w:rFonts w:ascii="Calibri" w:hAnsi="Calibri"/>
      <w:szCs w:val="22"/>
    </w:rPr>
  </w:style>
  <w:style w:type="character" w:customStyle="1" w:styleId="201">
    <w:name w:val="正文缩进 Char"/>
    <w:link w:val="4"/>
    <w:qFormat/>
    <w:locked/>
    <w:uiPriority w:val="99"/>
    <w:rPr>
      <w:kern w:val="2"/>
      <w:sz w:val="21"/>
    </w:rPr>
  </w:style>
  <w:style w:type="character" w:customStyle="1" w:styleId="202">
    <w:name w:val="页脚 Char"/>
    <w:link w:val="25"/>
    <w:qFormat/>
    <w:uiPriority w:val="0"/>
    <w:rPr>
      <w:kern w:val="2"/>
      <w:sz w:val="18"/>
    </w:rPr>
  </w:style>
  <w:style w:type="paragraph" w:customStyle="1" w:styleId="203">
    <w:name w:val="列出段落4"/>
    <w:basedOn w:val="1"/>
    <w:qFormat/>
    <w:uiPriority w:val="34"/>
    <w:pPr>
      <w:spacing w:line="360" w:lineRule="auto"/>
      <w:ind w:firstLine="420" w:firstLineChars="200"/>
    </w:pPr>
    <w:rPr>
      <w:rFonts w:ascii="宋体-18030" w:hAnsi="宋体-18030" w:eastAsia="微软雅黑" w:cs="微软雅黑"/>
      <w:szCs w:val="22"/>
    </w:rPr>
  </w:style>
  <w:style w:type="character" w:customStyle="1" w:styleId="204">
    <w:name w:val="标题 2 Char"/>
    <w:link w:val="3"/>
    <w:qFormat/>
    <w:uiPriority w:val="0"/>
    <w:rPr>
      <w:rFonts w:ascii="仿宋_GB2312" w:hAnsi="Arial" w:eastAsia="仿宋_GB2312"/>
      <w:b/>
      <w:kern w:val="2"/>
      <w:sz w:val="28"/>
    </w:rPr>
  </w:style>
  <w:style w:type="paragraph" w:customStyle="1" w:styleId="20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A7AB3C-56BF-4563-BF43-3AEFC8874C90}">
  <ds:schemaRefs/>
</ds:datastoreItem>
</file>

<file path=docProps/app.xml><?xml version="1.0" encoding="utf-8"?>
<Properties xmlns="http://schemas.openxmlformats.org/officeDocument/2006/extended-properties" xmlns:vt="http://schemas.openxmlformats.org/officeDocument/2006/docPropsVTypes">
  <Template>Normal</Template>
  <Company> </Company>
  <Pages>35</Pages>
  <Words>2371</Words>
  <Characters>13521</Characters>
  <Lines>112</Lines>
  <Paragraphs>31</Paragraphs>
  <TotalTime>78</TotalTime>
  <ScaleCrop>false</ScaleCrop>
  <LinksUpToDate>false</LinksUpToDate>
  <CharactersWithSpaces>15861</CharactersWithSpaces>
  <Application>WPS Office_11.1.0.8584_F1E327BC-269C-435d-A152-05C5408002CA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2018-12-24T01:21:00Z</dcterms:created>
  <dc:creator>emperor</dc:creator>
  <cp:lastModifiedBy>BLACK SWAN</cp:lastModifiedBy>
  <cp:lastPrinted>2019-01-30T02:16:00Z</cp:lastPrinted>
  <dcterms:modified xsi:type="dcterms:W3CDTF">2019-06-04T06:59:54Z</dcterms:modified>
  <dc:title>  </dc:title>
  <cp:revision>453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2052-11.1.0.8584</vt:lpwstr>
  </property>
</Properties>
</file>