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ind w:left="423" w:leftChars="200" w:hanging="3"/>
        <w:jc w:val="center"/>
        <w:rPr>
          <w:rFonts w:ascii="宋体" w:hAnsi="宋体" w:cs="宋体"/>
          <w:b/>
          <w:sz w:val="48"/>
          <w:szCs w:val="48"/>
        </w:rPr>
      </w:pPr>
    </w:p>
    <w:p>
      <w:pPr>
        <w:adjustRightInd w:val="0"/>
        <w:snapToGrid w:val="0"/>
        <w:ind w:left="423" w:leftChars="200" w:hanging="3"/>
        <w:jc w:val="center"/>
        <w:rPr>
          <w:rFonts w:ascii="宋体" w:hAnsi="宋体" w:cs="宋体"/>
          <w:b/>
          <w:bCs/>
          <w:sz w:val="48"/>
          <w:szCs w:val="56"/>
        </w:rPr>
      </w:pPr>
      <w:bookmarkStart w:id="456" w:name="_GoBack"/>
      <w:bookmarkEnd w:id="456"/>
      <w:r>
        <w:rPr>
          <w:rFonts w:hint="eastAsia" w:ascii="宋体" w:hAnsi="宋体" w:cs="宋体"/>
          <w:b/>
          <w:bCs/>
          <w:sz w:val="48"/>
          <w:szCs w:val="56"/>
          <w:lang w:eastAsia="zh-CN"/>
        </w:rPr>
        <w:t>六安世立医院</w:t>
      </w:r>
      <w:r>
        <w:rPr>
          <w:rFonts w:hint="eastAsia" w:ascii="宋体" w:hAnsi="宋体" w:cs="宋体"/>
          <w:b/>
          <w:bCs/>
          <w:sz w:val="48"/>
          <w:szCs w:val="56"/>
        </w:rPr>
        <w:t>消防改造工程（外科楼、</w:t>
      </w:r>
    </w:p>
    <w:p>
      <w:pPr>
        <w:adjustRightInd w:val="0"/>
        <w:snapToGrid w:val="0"/>
        <w:ind w:left="423" w:leftChars="200" w:hanging="3"/>
        <w:jc w:val="center"/>
        <w:rPr>
          <w:rFonts w:ascii="宋体" w:hAnsi="宋体" w:cs="宋体"/>
          <w:b/>
          <w:bCs/>
          <w:sz w:val="48"/>
          <w:szCs w:val="56"/>
        </w:rPr>
      </w:pPr>
      <w:r>
        <w:rPr>
          <w:rFonts w:hint="eastAsia" w:ascii="宋体" w:hAnsi="宋体" w:cs="宋体"/>
          <w:b/>
          <w:bCs/>
          <w:sz w:val="48"/>
          <w:szCs w:val="56"/>
        </w:rPr>
        <w:t>门诊楼）</w:t>
      </w:r>
    </w:p>
    <w:p>
      <w:pPr>
        <w:adjustRightInd w:val="0"/>
        <w:snapToGrid w:val="0"/>
        <w:ind w:left="423" w:leftChars="200" w:hanging="3"/>
        <w:jc w:val="center"/>
        <w:rPr>
          <w:rFonts w:ascii="宋体" w:hAnsi="宋体" w:cs="宋体"/>
          <w:b/>
          <w:bCs/>
          <w:sz w:val="48"/>
          <w:szCs w:val="56"/>
        </w:rPr>
      </w:pPr>
    </w:p>
    <w:p>
      <w:pPr>
        <w:adjustRightInd w:val="0"/>
        <w:snapToGrid w:val="0"/>
        <w:ind w:left="423" w:leftChars="200" w:hanging="3"/>
        <w:jc w:val="center"/>
        <w:rPr>
          <w:rFonts w:ascii="宋体" w:hAnsi="宋体" w:cs="宋体"/>
          <w:b/>
          <w:bCs/>
          <w:sz w:val="48"/>
          <w:szCs w:val="56"/>
        </w:rPr>
      </w:pPr>
    </w:p>
    <w:p>
      <w:pPr>
        <w:adjustRightInd w:val="0"/>
        <w:snapToGrid w:val="0"/>
        <w:ind w:left="423" w:leftChars="200" w:hanging="3"/>
        <w:jc w:val="center"/>
        <w:rPr>
          <w:rFonts w:ascii="宋体" w:hAnsi="宋体" w:cs="宋体"/>
          <w:b/>
          <w:bCs/>
          <w:sz w:val="96"/>
          <w:szCs w:val="96"/>
        </w:rPr>
      </w:pPr>
      <w:r>
        <w:rPr>
          <w:rFonts w:hint="eastAsia" w:ascii="宋体" w:hAnsi="宋体" w:cs="宋体"/>
          <w:b/>
          <w:bCs/>
          <w:sz w:val="72"/>
          <w:szCs w:val="72"/>
        </w:rPr>
        <w:t>招标文件</w:t>
      </w:r>
    </w:p>
    <w:p>
      <w:pPr>
        <w:adjustRightInd w:val="0"/>
        <w:snapToGrid w:val="0"/>
        <w:ind w:left="423" w:leftChars="200" w:hanging="3"/>
        <w:rPr>
          <w:rFonts w:ascii="宋体" w:hAnsi="宋体" w:cs="宋体"/>
          <w:b/>
          <w:bCs/>
          <w:sz w:val="96"/>
          <w:szCs w:val="96"/>
        </w:rPr>
      </w:pPr>
    </w:p>
    <w:p>
      <w:pPr>
        <w:adjustRightInd w:val="0"/>
        <w:snapToGrid w:val="0"/>
        <w:ind w:left="423" w:leftChars="200" w:hanging="3"/>
        <w:jc w:val="center"/>
        <w:rPr>
          <w:rFonts w:ascii="宋体" w:hAnsi="宋体" w:cs="宋体"/>
          <w:b/>
          <w:bCs/>
          <w:sz w:val="24"/>
          <w:szCs w:val="32"/>
        </w:rPr>
      </w:pPr>
      <w:r>
        <w:rPr>
          <w:rFonts w:hint="eastAsia" w:ascii="宋体" w:hAnsi="宋体" w:cs="宋体"/>
          <w:b/>
          <w:bCs/>
          <w:sz w:val="36"/>
          <w:szCs w:val="36"/>
        </w:rPr>
        <w:t>项目编号：</w:t>
      </w:r>
      <w:r>
        <w:rPr>
          <w:rFonts w:hint="eastAsia" w:ascii="宋体" w:hAnsi="宋体" w:cs="宋体"/>
          <w:b/>
          <w:bCs/>
          <w:sz w:val="36"/>
          <w:szCs w:val="36"/>
          <w:u w:val="single"/>
          <w:lang w:eastAsia="zh-CN"/>
        </w:rPr>
        <w:t>SLYYXFGZ-20200612</w:t>
      </w: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rPr>
      </w:pPr>
    </w:p>
    <w:p>
      <w:pPr>
        <w:adjustRightInd w:val="0"/>
        <w:snapToGrid w:val="0"/>
        <w:ind w:left="423" w:leftChars="200" w:hanging="3"/>
        <w:jc w:val="center"/>
        <w:rPr>
          <w:rFonts w:ascii="宋体" w:hAnsi="宋体" w:cs="宋体"/>
          <w:b/>
          <w:bCs/>
          <w:sz w:val="36"/>
          <w:szCs w:val="36"/>
          <w:u w:val="single"/>
        </w:rPr>
      </w:pPr>
      <w:r>
        <w:rPr>
          <w:rFonts w:hint="eastAsia" w:ascii="宋体" w:hAnsi="宋体" w:cs="宋体"/>
          <w:b/>
          <w:bCs/>
          <w:sz w:val="36"/>
          <w:szCs w:val="36"/>
        </w:rPr>
        <w:t>招标单位：</w:t>
      </w:r>
      <w:r>
        <w:rPr>
          <w:rFonts w:hint="eastAsia" w:ascii="宋体" w:hAnsi="宋体" w:cs="宋体"/>
          <w:b/>
          <w:bCs/>
          <w:sz w:val="36"/>
          <w:szCs w:val="36"/>
          <w:u w:val="single"/>
        </w:rPr>
        <w:t>六安世立医院有限公司</w:t>
      </w:r>
    </w:p>
    <w:p>
      <w:pPr>
        <w:adjustRightInd w:val="0"/>
        <w:snapToGrid w:val="0"/>
        <w:ind w:left="423" w:leftChars="200" w:hanging="3"/>
        <w:jc w:val="center"/>
        <w:rPr>
          <w:rFonts w:ascii="宋体" w:hAnsi="宋体" w:cs="宋体"/>
          <w:b/>
          <w:bCs/>
          <w:sz w:val="36"/>
          <w:szCs w:val="36"/>
          <w:u w:val="single"/>
        </w:rPr>
      </w:pPr>
    </w:p>
    <w:p>
      <w:pPr>
        <w:adjustRightInd w:val="0"/>
        <w:snapToGrid w:val="0"/>
        <w:ind w:left="423" w:leftChars="200" w:hanging="3"/>
        <w:jc w:val="center"/>
        <w:rPr>
          <w:rFonts w:ascii="宋体" w:hAnsi="宋体" w:cs="宋体"/>
          <w:b/>
          <w:bCs/>
          <w:sz w:val="36"/>
          <w:szCs w:val="36"/>
        </w:rPr>
      </w:pPr>
    </w:p>
    <w:p>
      <w:pPr>
        <w:adjustRightInd w:val="0"/>
        <w:snapToGrid w:val="0"/>
        <w:ind w:left="423" w:leftChars="200" w:hanging="3"/>
        <w:jc w:val="center"/>
        <w:rPr>
          <w:rFonts w:ascii="宋体" w:hAnsi="宋体" w:cs="宋体"/>
          <w:b/>
          <w:bCs/>
          <w:sz w:val="36"/>
          <w:szCs w:val="36"/>
        </w:rPr>
      </w:pPr>
      <w:r>
        <w:rPr>
          <w:rFonts w:hint="eastAsia" w:ascii="宋体" w:hAnsi="宋体" w:cs="宋体"/>
          <w:b/>
          <w:bCs/>
          <w:sz w:val="36"/>
          <w:szCs w:val="36"/>
        </w:rPr>
        <w:t xml:space="preserve">  招标代理机构：</w:t>
      </w:r>
      <w:r>
        <w:rPr>
          <w:rFonts w:hint="eastAsia" w:ascii="宋体" w:hAnsi="宋体" w:cs="宋体"/>
          <w:b/>
          <w:bCs/>
          <w:sz w:val="36"/>
          <w:szCs w:val="36"/>
          <w:u w:val="single"/>
        </w:rPr>
        <w:t>中经国际招标集团有限公司</w:t>
      </w:r>
    </w:p>
    <w:p>
      <w:pPr>
        <w:adjustRightInd w:val="0"/>
        <w:snapToGrid w:val="0"/>
        <w:spacing w:line="840" w:lineRule="exact"/>
        <w:ind w:left="423" w:leftChars="200" w:hanging="3"/>
        <w:jc w:val="center"/>
        <w:rPr>
          <w:rFonts w:ascii="宋体" w:hAnsi="宋体" w:cs="宋体"/>
          <w:b/>
          <w:bCs/>
          <w:sz w:val="36"/>
          <w:szCs w:val="36"/>
        </w:rPr>
      </w:pPr>
    </w:p>
    <w:p>
      <w:pPr>
        <w:adjustRightInd w:val="0"/>
        <w:snapToGrid w:val="0"/>
        <w:spacing w:beforeLines="100" w:afterLines="20" w:line="720" w:lineRule="auto"/>
        <w:ind w:left="423" w:leftChars="200" w:hanging="3"/>
        <w:jc w:val="center"/>
        <w:rPr>
          <w:rFonts w:ascii="宋体" w:hAnsi="宋体" w:cs="宋体"/>
          <w:b/>
          <w:bCs/>
          <w:sz w:val="36"/>
          <w:szCs w:val="36"/>
        </w:rPr>
      </w:pPr>
      <w:r>
        <w:rPr>
          <w:rFonts w:hint="eastAsia" w:ascii="宋体" w:hAnsi="宋体" w:cs="宋体"/>
          <w:b/>
          <w:bCs/>
          <w:sz w:val="36"/>
          <w:szCs w:val="36"/>
        </w:rPr>
        <w:t>2020年6月</w:t>
      </w:r>
    </w:p>
    <w:p>
      <w:pPr>
        <w:adjustRightInd w:val="0"/>
        <w:snapToGrid w:val="0"/>
        <w:spacing w:beforeLines="20" w:afterLines="20" w:line="540" w:lineRule="exact"/>
        <w:ind w:left="423" w:leftChars="200" w:hanging="3"/>
        <w:jc w:val="center"/>
        <w:rPr>
          <w:rFonts w:ascii="宋体" w:hAnsi="宋体" w:cs="宋体"/>
          <w:b/>
          <w:bCs/>
          <w:sz w:val="36"/>
        </w:rPr>
        <w:sectPr>
          <w:headerReference r:id="rId3" w:type="default"/>
          <w:footerReference r:id="rId4" w:type="even"/>
          <w:pgSz w:w="11907" w:h="16840"/>
          <w:pgMar w:top="1440" w:right="1080" w:bottom="1440" w:left="1080" w:header="851" w:footer="851" w:gutter="0"/>
          <w:pgNumType w:start="0"/>
          <w:cols w:space="720" w:num="1"/>
          <w:docGrid w:linePitch="312" w:charSpace="0"/>
        </w:sectPr>
      </w:pPr>
    </w:p>
    <w:p>
      <w:pPr>
        <w:adjustRightInd w:val="0"/>
        <w:snapToGrid w:val="0"/>
        <w:jc w:val="center"/>
        <w:rPr>
          <w:rFonts w:ascii="宋体" w:hAnsi="宋体" w:cs="宋体"/>
          <w:b/>
          <w:bCs/>
          <w:sz w:val="40"/>
          <w:szCs w:val="48"/>
        </w:rPr>
      </w:pPr>
      <w:r>
        <w:rPr>
          <w:rFonts w:hint="eastAsia" w:ascii="宋体" w:hAnsi="宋体" w:cs="宋体"/>
          <w:b/>
          <w:bCs/>
          <w:sz w:val="40"/>
          <w:szCs w:val="48"/>
        </w:rPr>
        <w:t>目录</w:t>
      </w:r>
    </w:p>
    <w:p>
      <w:pPr>
        <w:pStyle w:val="2"/>
        <w:numPr>
          <w:ilvl w:val="0"/>
          <w:numId w:val="0"/>
        </w:numPr>
        <w:adjustRightInd w:val="0"/>
        <w:snapToGrid w:val="0"/>
        <w:ind w:left="3240"/>
        <w:jc w:val="both"/>
        <w:rPr>
          <w:rFonts w:ascii="宋体" w:hAnsi="宋体" w:eastAsia="宋体" w:cs="宋体"/>
        </w:rPr>
      </w:pPr>
    </w:p>
    <w:p>
      <w:pPr>
        <w:pStyle w:val="17"/>
        <w:tabs>
          <w:tab w:val="right" w:leader="dot" w:pos="9746"/>
        </w:tabs>
        <w:rPr>
          <w:rFonts w:ascii="宋体" w:hAnsi="宋体" w:cs="宋体"/>
          <w:sz w:val="28"/>
          <w:szCs w:val="44"/>
        </w:rPr>
      </w:pPr>
      <w:r>
        <w:rPr>
          <w:rFonts w:hint="eastAsia" w:ascii="宋体" w:hAnsi="宋体" w:cs="宋体"/>
          <w:sz w:val="52"/>
          <w:szCs w:val="52"/>
        </w:rPr>
        <w:fldChar w:fldCharType="begin"/>
      </w:r>
      <w:r>
        <w:rPr>
          <w:rFonts w:hint="eastAsia" w:ascii="宋体" w:hAnsi="宋体" w:cs="宋体"/>
          <w:sz w:val="52"/>
          <w:szCs w:val="52"/>
        </w:rPr>
        <w:instrText xml:space="preserve">TOC \o "1-2" \h \u </w:instrText>
      </w:r>
      <w:r>
        <w:rPr>
          <w:rFonts w:hint="eastAsia" w:ascii="宋体" w:hAnsi="宋体" w:cs="宋体"/>
          <w:sz w:val="52"/>
          <w:szCs w:val="52"/>
        </w:rPr>
        <w:fldChar w:fldCharType="separate"/>
      </w:r>
      <w:r>
        <w:fldChar w:fldCharType="begin"/>
      </w:r>
      <w:r>
        <w:instrText xml:space="preserve"> HYPERLINK \l "_Toc1998" </w:instrText>
      </w:r>
      <w:r>
        <w:fldChar w:fldCharType="separate"/>
      </w:r>
      <w:r>
        <w:rPr>
          <w:rFonts w:hint="eastAsia" w:ascii="宋体" w:hAnsi="宋体" w:cs="宋体"/>
          <w:sz w:val="28"/>
          <w:szCs w:val="28"/>
        </w:rPr>
        <w:t xml:space="preserve">第一章 </w:t>
      </w:r>
      <w:r>
        <w:rPr>
          <w:rFonts w:hint="eastAsia" w:ascii="宋体" w:hAnsi="宋体" w:cs="宋体"/>
          <w:sz w:val="28"/>
          <w:szCs w:val="52"/>
        </w:rPr>
        <w:t>招标公告</w:t>
      </w:r>
      <w:r>
        <w:rPr>
          <w:rFonts w:hint="eastAsia" w:ascii="宋体" w:hAnsi="宋体" w:cs="宋体"/>
          <w:sz w:val="28"/>
          <w:szCs w:val="36"/>
        </w:rPr>
        <w:tab/>
      </w:r>
      <w:r>
        <w:rPr>
          <w:rFonts w:hint="eastAsia" w:ascii="宋体" w:hAnsi="宋体" w:cs="宋体"/>
          <w:sz w:val="28"/>
          <w:szCs w:val="36"/>
        </w:rPr>
        <w:fldChar w:fldCharType="begin"/>
      </w:r>
      <w:r>
        <w:rPr>
          <w:rFonts w:hint="eastAsia" w:ascii="宋体" w:hAnsi="宋体" w:cs="宋体"/>
          <w:sz w:val="28"/>
          <w:szCs w:val="36"/>
        </w:rPr>
        <w:instrText xml:space="preserve"> PAGEREF _Toc1998 </w:instrText>
      </w:r>
      <w:r>
        <w:rPr>
          <w:rFonts w:hint="eastAsia" w:ascii="宋体" w:hAnsi="宋体" w:cs="宋体"/>
          <w:sz w:val="28"/>
          <w:szCs w:val="36"/>
        </w:rPr>
        <w:fldChar w:fldCharType="separate"/>
      </w:r>
      <w:r>
        <w:rPr>
          <w:rFonts w:hint="eastAsia" w:ascii="宋体" w:hAnsi="宋体" w:cs="宋体"/>
          <w:sz w:val="28"/>
          <w:szCs w:val="36"/>
        </w:rPr>
        <w:t>2</w:t>
      </w:r>
      <w:r>
        <w:rPr>
          <w:rFonts w:hint="eastAsia" w:ascii="宋体" w:hAnsi="宋体" w:cs="宋体"/>
          <w:sz w:val="28"/>
          <w:szCs w:val="36"/>
        </w:rPr>
        <w:fldChar w:fldCharType="end"/>
      </w:r>
      <w:r>
        <w:rPr>
          <w:rFonts w:hint="eastAsia" w:ascii="宋体" w:hAnsi="宋体" w:cs="宋体"/>
          <w:sz w:val="28"/>
          <w:szCs w:val="36"/>
        </w:rPr>
        <w:fldChar w:fldCharType="end"/>
      </w:r>
    </w:p>
    <w:p>
      <w:pPr>
        <w:rPr>
          <w:rFonts w:ascii="宋体" w:hAnsi="宋体" w:cs="宋体"/>
          <w:sz w:val="28"/>
          <w:szCs w:val="36"/>
        </w:rPr>
      </w:pPr>
    </w:p>
    <w:p>
      <w:pPr>
        <w:pStyle w:val="17"/>
        <w:tabs>
          <w:tab w:val="right" w:leader="dot" w:pos="9746"/>
        </w:tabs>
        <w:rPr>
          <w:rFonts w:ascii="宋体" w:hAnsi="宋体" w:cs="宋体"/>
          <w:sz w:val="28"/>
          <w:szCs w:val="36"/>
        </w:rPr>
      </w:pPr>
      <w:r>
        <w:fldChar w:fldCharType="begin"/>
      </w:r>
      <w:r>
        <w:instrText xml:space="preserve"> HYPERLINK \l "_Toc2456" </w:instrText>
      </w:r>
      <w:r>
        <w:fldChar w:fldCharType="separate"/>
      </w:r>
      <w:r>
        <w:rPr>
          <w:rFonts w:hint="eastAsia" w:ascii="宋体" w:hAnsi="宋体" w:cs="宋体"/>
          <w:kern w:val="44"/>
          <w:sz w:val="28"/>
          <w:szCs w:val="52"/>
        </w:rPr>
        <w:t>第二章 投标人须知</w:t>
      </w:r>
      <w:r>
        <w:rPr>
          <w:rFonts w:hint="eastAsia" w:ascii="宋体" w:hAnsi="宋体" w:cs="宋体"/>
          <w:sz w:val="28"/>
          <w:szCs w:val="36"/>
        </w:rPr>
        <w:tab/>
      </w:r>
      <w:r>
        <w:rPr>
          <w:rFonts w:hint="eastAsia" w:ascii="宋体" w:hAnsi="宋体" w:cs="宋体"/>
          <w:sz w:val="28"/>
          <w:szCs w:val="36"/>
        </w:rPr>
        <w:fldChar w:fldCharType="begin"/>
      </w:r>
      <w:r>
        <w:rPr>
          <w:rFonts w:hint="eastAsia" w:ascii="宋体" w:hAnsi="宋体" w:cs="宋体"/>
          <w:sz w:val="28"/>
          <w:szCs w:val="36"/>
        </w:rPr>
        <w:instrText xml:space="preserve"> PAGEREF _Toc2456 </w:instrText>
      </w:r>
      <w:r>
        <w:rPr>
          <w:rFonts w:hint="eastAsia" w:ascii="宋体" w:hAnsi="宋体" w:cs="宋体"/>
          <w:sz w:val="28"/>
          <w:szCs w:val="36"/>
        </w:rPr>
        <w:fldChar w:fldCharType="separate"/>
      </w:r>
      <w:r>
        <w:rPr>
          <w:rFonts w:hint="eastAsia" w:ascii="宋体" w:hAnsi="宋体" w:cs="宋体"/>
          <w:sz w:val="28"/>
          <w:szCs w:val="36"/>
        </w:rPr>
        <w:t>6</w:t>
      </w:r>
      <w:r>
        <w:rPr>
          <w:rFonts w:hint="eastAsia" w:ascii="宋体" w:hAnsi="宋体" w:cs="宋体"/>
          <w:sz w:val="28"/>
          <w:szCs w:val="36"/>
        </w:rPr>
        <w:fldChar w:fldCharType="end"/>
      </w:r>
      <w:r>
        <w:rPr>
          <w:rFonts w:hint="eastAsia" w:ascii="宋体" w:hAnsi="宋体" w:cs="宋体"/>
          <w:sz w:val="28"/>
          <w:szCs w:val="36"/>
        </w:rPr>
        <w:fldChar w:fldCharType="end"/>
      </w:r>
    </w:p>
    <w:p>
      <w:pPr>
        <w:pStyle w:val="18"/>
        <w:tabs>
          <w:tab w:val="right" w:leader="dot" w:pos="9746"/>
        </w:tabs>
        <w:rPr>
          <w:rFonts w:ascii="宋体" w:hAnsi="宋体" w:cs="宋体"/>
          <w:sz w:val="28"/>
          <w:szCs w:val="36"/>
        </w:rPr>
      </w:pPr>
      <w:r>
        <w:fldChar w:fldCharType="begin"/>
      </w:r>
      <w:r>
        <w:instrText xml:space="preserve"> HYPERLINK \l "_Toc12617" </w:instrText>
      </w:r>
      <w:r>
        <w:fldChar w:fldCharType="separate"/>
      </w:r>
      <w:r>
        <w:rPr>
          <w:rFonts w:hint="eastAsia" w:ascii="宋体" w:hAnsi="宋体" w:cs="宋体"/>
          <w:sz w:val="28"/>
          <w:szCs w:val="36"/>
        </w:rPr>
        <w:t>（一）、前附表</w:t>
      </w:r>
      <w:r>
        <w:rPr>
          <w:rFonts w:hint="eastAsia" w:ascii="宋体" w:hAnsi="宋体" w:cs="宋体"/>
          <w:sz w:val="28"/>
          <w:szCs w:val="36"/>
        </w:rPr>
        <w:tab/>
      </w:r>
      <w:r>
        <w:rPr>
          <w:rFonts w:hint="eastAsia" w:ascii="宋体" w:hAnsi="宋体" w:cs="宋体"/>
          <w:sz w:val="28"/>
          <w:szCs w:val="36"/>
        </w:rPr>
        <w:fldChar w:fldCharType="begin"/>
      </w:r>
      <w:r>
        <w:rPr>
          <w:rFonts w:hint="eastAsia" w:ascii="宋体" w:hAnsi="宋体" w:cs="宋体"/>
          <w:sz w:val="28"/>
          <w:szCs w:val="36"/>
        </w:rPr>
        <w:instrText xml:space="preserve"> PAGEREF _Toc12617 </w:instrText>
      </w:r>
      <w:r>
        <w:rPr>
          <w:rFonts w:hint="eastAsia" w:ascii="宋体" w:hAnsi="宋体" w:cs="宋体"/>
          <w:sz w:val="28"/>
          <w:szCs w:val="36"/>
        </w:rPr>
        <w:fldChar w:fldCharType="separate"/>
      </w:r>
      <w:r>
        <w:rPr>
          <w:rFonts w:hint="eastAsia" w:ascii="宋体" w:hAnsi="宋体" w:cs="宋体"/>
          <w:sz w:val="28"/>
          <w:szCs w:val="36"/>
        </w:rPr>
        <w:t>6</w:t>
      </w:r>
      <w:r>
        <w:rPr>
          <w:rFonts w:hint="eastAsia" w:ascii="宋体" w:hAnsi="宋体" w:cs="宋体"/>
          <w:sz w:val="28"/>
          <w:szCs w:val="36"/>
        </w:rPr>
        <w:fldChar w:fldCharType="end"/>
      </w:r>
      <w:r>
        <w:rPr>
          <w:rFonts w:hint="eastAsia" w:ascii="宋体" w:hAnsi="宋体" w:cs="宋体"/>
          <w:sz w:val="28"/>
          <w:szCs w:val="36"/>
        </w:rPr>
        <w:fldChar w:fldCharType="end"/>
      </w:r>
    </w:p>
    <w:p>
      <w:pPr>
        <w:pStyle w:val="18"/>
        <w:tabs>
          <w:tab w:val="right" w:leader="dot" w:pos="9746"/>
        </w:tabs>
        <w:rPr>
          <w:rFonts w:ascii="宋体" w:hAnsi="宋体" w:cs="宋体"/>
          <w:sz w:val="28"/>
          <w:szCs w:val="36"/>
        </w:rPr>
      </w:pPr>
      <w:r>
        <w:fldChar w:fldCharType="begin"/>
      </w:r>
      <w:r>
        <w:instrText xml:space="preserve"> HYPERLINK \l "_Toc5366" </w:instrText>
      </w:r>
      <w:r>
        <w:fldChar w:fldCharType="separate"/>
      </w:r>
      <w:r>
        <w:rPr>
          <w:rFonts w:hint="eastAsia" w:ascii="宋体" w:hAnsi="宋体" w:cs="宋体"/>
          <w:sz w:val="28"/>
          <w:szCs w:val="36"/>
        </w:rPr>
        <w:t>（二）总则</w:t>
      </w:r>
      <w:r>
        <w:rPr>
          <w:rFonts w:hint="eastAsia" w:ascii="宋体" w:hAnsi="宋体" w:cs="宋体"/>
          <w:sz w:val="28"/>
          <w:szCs w:val="36"/>
        </w:rPr>
        <w:tab/>
      </w:r>
      <w:r>
        <w:rPr>
          <w:rFonts w:hint="eastAsia" w:ascii="宋体" w:hAnsi="宋体" w:cs="宋体"/>
          <w:sz w:val="28"/>
          <w:szCs w:val="36"/>
        </w:rPr>
        <w:fldChar w:fldCharType="begin"/>
      </w:r>
      <w:r>
        <w:rPr>
          <w:rFonts w:hint="eastAsia" w:ascii="宋体" w:hAnsi="宋体" w:cs="宋体"/>
          <w:sz w:val="28"/>
          <w:szCs w:val="36"/>
        </w:rPr>
        <w:instrText xml:space="preserve"> PAGEREF _Toc5366 </w:instrText>
      </w:r>
      <w:r>
        <w:rPr>
          <w:rFonts w:hint="eastAsia" w:ascii="宋体" w:hAnsi="宋体" w:cs="宋体"/>
          <w:sz w:val="28"/>
          <w:szCs w:val="36"/>
        </w:rPr>
        <w:fldChar w:fldCharType="separate"/>
      </w:r>
      <w:r>
        <w:rPr>
          <w:rFonts w:hint="eastAsia" w:ascii="宋体" w:hAnsi="宋体" w:cs="宋体"/>
          <w:sz w:val="28"/>
          <w:szCs w:val="36"/>
        </w:rPr>
        <w:t>11</w:t>
      </w:r>
      <w:r>
        <w:rPr>
          <w:rFonts w:hint="eastAsia" w:ascii="宋体" w:hAnsi="宋体" w:cs="宋体"/>
          <w:sz w:val="28"/>
          <w:szCs w:val="36"/>
        </w:rPr>
        <w:fldChar w:fldCharType="end"/>
      </w:r>
      <w:r>
        <w:rPr>
          <w:rFonts w:hint="eastAsia" w:ascii="宋体" w:hAnsi="宋体" w:cs="宋体"/>
          <w:sz w:val="28"/>
          <w:szCs w:val="36"/>
        </w:rPr>
        <w:fldChar w:fldCharType="end"/>
      </w:r>
    </w:p>
    <w:p>
      <w:pPr>
        <w:pStyle w:val="18"/>
        <w:tabs>
          <w:tab w:val="right" w:leader="dot" w:pos="9746"/>
        </w:tabs>
        <w:rPr>
          <w:rFonts w:ascii="宋体" w:hAnsi="宋体" w:cs="宋体"/>
          <w:sz w:val="28"/>
          <w:szCs w:val="36"/>
        </w:rPr>
      </w:pPr>
      <w:r>
        <w:fldChar w:fldCharType="begin"/>
      </w:r>
      <w:r>
        <w:instrText xml:space="preserve"> HYPERLINK \l "_Toc29661" </w:instrText>
      </w:r>
      <w:r>
        <w:fldChar w:fldCharType="separate"/>
      </w:r>
      <w:r>
        <w:rPr>
          <w:rFonts w:hint="eastAsia" w:ascii="宋体" w:hAnsi="宋体" w:cs="宋体"/>
          <w:sz w:val="28"/>
          <w:szCs w:val="36"/>
        </w:rPr>
        <w:t>（三）招标文件</w:t>
      </w:r>
      <w:r>
        <w:rPr>
          <w:rFonts w:hint="eastAsia" w:ascii="宋体" w:hAnsi="宋体" w:cs="宋体"/>
          <w:sz w:val="28"/>
          <w:szCs w:val="36"/>
        </w:rPr>
        <w:tab/>
      </w:r>
      <w:r>
        <w:rPr>
          <w:rFonts w:hint="eastAsia" w:ascii="宋体" w:hAnsi="宋体" w:cs="宋体"/>
          <w:sz w:val="28"/>
          <w:szCs w:val="36"/>
        </w:rPr>
        <w:fldChar w:fldCharType="begin"/>
      </w:r>
      <w:r>
        <w:rPr>
          <w:rFonts w:hint="eastAsia" w:ascii="宋体" w:hAnsi="宋体" w:cs="宋体"/>
          <w:sz w:val="28"/>
          <w:szCs w:val="36"/>
        </w:rPr>
        <w:instrText xml:space="preserve"> PAGEREF _Toc29661 </w:instrText>
      </w:r>
      <w:r>
        <w:rPr>
          <w:rFonts w:hint="eastAsia" w:ascii="宋体" w:hAnsi="宋体" w:cs="宋体"/>
          <w:sz w:val="28"/>
          <w:szCs w:val="36"/>
        </w:rPr>
        <w:fldChar w:fldCharType="separate"/>
      </w:r>
      <w:r>
        <w:rPr>
          <w:rFonts w:hint="eastAsia" w:ascii="宋体" w:hAnsi="宋体" w:cs="宋体"/>
          <w:sz w:val="28"/>
          <w:szCs w:val="36"/>
        </w:rPr>
        <w:t>11</w:t>
      </w:r>
      <w:r>
        <w:rPr>
          <w:rFonts w:hint="eastAsia" w:ascii="宋体" w:hAnsi="宋体" w:cs="宋体"/>
          <w:sz w:val="28"/>
          <w:szCs w:val="36"/>
        </w:rPr>
        <w:fldChar w:fldCharType="end"/>
      </w:r>
      <w:r>
        <w:rPr>
          <w:rFonts w:hint="eastAsia" w:ascii="宋体" w:hAnsi="宋体" w:cs="宋体"/>
          <w:sz w:val="28"/>
          <w:szCs w:val="36"/>
        </w:rPr>
        <w:fldChar w:fldCharType="end"/>
      </w:r>
    </w:p>
    <w:p>
      <w:pPr>
        <w:pStyle w:val="18"/>
        <w:tabs>
          <w:tab w:val="right" w:leader="dot" w:pos="9746"/>
        </w:tabs>
        <w:rPr>
          <w:rFonts w:ascii="宋体" w:hAnsi="宋体" w:cs="宋体"/>
          <w:sz w:val="28"/>
          <w:szCs w:val="36"/>
        </w:rPr>
      </w:pPr>
      <w:r>
        <w:fldChar w:fldCharType="begin"/>
      </w:r>
      <w:r>
        <w:instrText xml:space="preserve"> HYPERLINK \l "_Toc10960" </w:instrText>
      </w:r>
      <w:r>
        <w:fldChar w:fldCharType="separate"/>
      </w:r>
      <w:r>
        <w:rPr>
          <w:rFonts w:hint="eastAsia" w:ascii="宋体" w:hAnsi="宋体" w:cs="宋体"/>
          <w:sz w:val="28"/>
          <w:szCs w:val="36"/>
        </w:rPr>
        <w:t>（四）投标文件的编制</w:t>
      </w:r>
      <w:r>
        <w:rPr>
          <w:rFonts w:hint="eastAsia" w:ascii="宋体" w:hAnsi="宋体" w:cs="宋体"/>
          <w:sz w:val="28"/>
          <w:szCs w:val="36"/>
        </w:rPr>
        <w:tab/>
      </w:r>
      <w:r>
        <w:rPr>
          <w:rFonts w:hint="eastAsia" w:ascii="宋体" w:hAnsi="宋体" w:cs="宋体"/>
          <w:sz w:val="28"/>
          <w:szCs w:val="36"/>
        </w:rPr>
        <w:fldChar w:fldCharType="begin"/>
      </w:r>
      <w:r>
        <w:rPr>
          <w:rFonts w:hint="eastAsia" w:ascii="宋体" w:hAnsi="宋体" w:cs="宋体"/>
          <w:sz w:val="28"/>
          <w:szCs w:val="36"/>
        </w:rPr>
        <w:instrText xml:space="preserve"> PAGEREF _Toc10960 </w:instrText>
      </w:r>
      <w:r>
        <w:rPr>
          <w:rFonts w:hint="eastAsia" w:ascii="宋体" w:hAnsi="宋体" w:cs="宋体"/>
          <w:sz w:val="28"/>
          <w:szCs w:val="36"/>
        </w:rPr>
        <w:fldChar w:fldCharType="separate"/>
      </w:r>
      <w:r>
        <w:rPr>
          <w:rFonts w:hint="eastAsia" w:ascii="宋体" w:hAnsi="宋体" w:cs="宋体"/>
          <w:sz w:val="28"/>
          <w:szCs w:val="36"/>
        </w:rPr>
        <w:t>13</w:t>
      </w:r>
      <w:r>
        <w:rPr>
          <w:rFonts w:hint="eastAsia" w:ascii="宋体" w:hAnsi="宋体" w:cs="宋体"/>
          <w:sz w:val="28"/>
          <w:szCs w:val="36"/>
        </w:rPr>
        <w:fldChar w:fldCharType="end"/>
      </w:r>
      <w:r>
        <w:rPr>
          <w:rFonts w:hint="eastAsia" w:ascii="宋体" w:hAnsi="宋体" w:cs="宋体"/>
          <w:sz w:val="28"/>
          <w:szCs w:val="36"/>
        </w:rPr>
        <w:fldChar w:fldCharType="end"/>
      </w:r>
    </w:p>
    <w:p>
      <w:pPr>
        <w:pStyle w:val="18"/>
        <w:tabs>
          <w:tab w:val="right" w:leader="dot" w:pos="9746"/>
        </w:tabs>
        <w:rPr>
          <w:rFonts w:ascii="宋体" w:hAnsi="宋体" w:cs="宋体"/>
          <w:sz w:val="28"/>
          <w:szCs w:val="44"/>
        </w:rPr>
      </w:pPr>
      <w:r>
        <w:fldChar w:fldCharType="begin"/>
      </w:r>
      <w:r>
        <w:instrText xml:space="preserve"> HYPERLINK \l "_Toc30384" </w:instrText>
      </w:r>
      <w:r>
        <w:fldChar w:fldCharType="separate"/>
      </w:r>
      <w:r>
        <w:rPr>
          <w:rFonts w:hint="eastAsia" w:ascii="宋体" w:hAnsi="宋体" w:cs="宋体"/>
          <w:sz w:val="28"/>
          <w:szCs w:val="36"/>
        </w:rPr>
        <w:t>（五）投标文件的递交</w:t>
      </w:r>
      <w:r>
        <w:rPr>
          <w:rFonts w:hint="eastAsia" w:ascii="宋体" w:hAnsi="宋体" w:cs="宋体"/>
          <w:sz w:val="28"/>
          <w:szCs w:val="36"/>
        </w:rPr>
        <w:tab/>
      </w:r>
      <w:r>
        <w:rPr>
          <w:rFonts w:hint="eastAsia" w:ascii="宋体" w:hAnsi="宋体" w:cs="宋体"/>
          <w:sz w:val="28"/>
          <w:szCs w:val="36"/>
        </w:rPr>
        <w:fldChar w:fldCharType="begin"/>
      </w:r>
      <w:r>
        <w:rPr>
          <w:rFonts w:hint="eastAsia" w:ascii="宋体" w:hAnsi="宋体" w:cs="宋体"/>
          <w:sz w:val="28"/>
          <w:szCs w:val="36"/>
        </w:rPr>
        <w:instrText xml:space="preserve"> PAGEREF _Toc30384 </w:instrText>
      </w:r>
      <w:r>
        <w:rPr>
          <w:rFonts w:hint="eastAsia" w:ascii="宋体" w:hAnsi="宋体" w:cs="宋体"/>
          <w:sz w:val="28"/>
          <w:szCs w:val="36"/>
        </w:rPr>
        <w:fldChar w:fldCharType="separate"/>
      </w:r>
      <w:r>
        <w:rPr>
          <w:rFonts w:hint="eastAsia" w:ascii="宋体" w:hAnsi="宋体" w:cs="宋体"/>
          <w:sz w:val="28"/>
          <w:szCs w:val="36"/>
        </w:rPr>
        <w:t>15</w:t>
      </w:r>
      <w:r>
        <w:rPr>
          <w:rFonts w:hint="eastAsia" w:ascii="宋体" w:hAnsi="宋体" w:cs="宋体"/>
          <w:sz w:val="28"/>
          <w:szCs w:val="36"/>
        </w:rPr>
        <w:fldChar w:fldCharType="end"/>
      </w:r>
      <w:r>
        <w:rPr>
          <w:rFonts w:hint="eastAsia" w:ascii="宋体" w:hAnsi="宋体" w:cs="宋体"/>
          <w:sz w:val="28"/>
          <w:szCs w:val="36"/>
        </w:rPr>
        <w:fldChar w:fldCharType="end"/>
      </w:r>
    </w:p>
    <w:p>
      <w:pPr>
        <w:rPr>
          <w:rFonts w:ascii="宋体" w:hAnsi="宋体" w:cs="宋体"/>
          <w:sz w:val="28"/>
          <w:szCs w:val="36"/>
        </w:rPr>
      </w:pPr>
    </w:p>
    <w:p>
      <w:pPr>
        <w:pStyle w:val="17"/>
        <w:tabs>
          <w:tab w:val="right" w:leader="dot" w:pos="9746"/>
        </w:tabs>
        <w:rPr>
          <w:rFonts w:ascii="宋体" w:hAnsi="宋体" w:cs="宋体"/>
          <w:sz w:val="28"/>
          <w:szCs w:val="36"/>
        </w:rPr>
      </w:pPr>
      <w:r>
        <w:fldChar w:fldCharType="begin"/>
      </w:r>
      <w:r>
        <w:instrText xml:space="preserve"> HYPERLINK \l "_Toc15826" </w:instrText>
      </w:r>
      <w:r>
        <w:fldChar w:fldCharType="separate"/>
      </w:r>
      <w:r>
        <w:rPr>
          <w:rFonts w:hint="eastAsia" w:ascii="宋体" w:hAnsi="宋体" w:cs="宋体"/>
          <w:sz w:val="28"/>
          <w:szCs w:val="52"/>
        </w:rPr>
        <w:t>第三章  评标办法</w:t>
      </w:r>
      <w:r>
        <w:rPr>
          <w:rFonts w:hint="eastAsia" w:ascii="宋体" w:hAnsi="宋体" w:cs="宋体"/>
          <w:sz w:val="28"/>
          <w:szCs w:val="36"/>
        </w:rPr>
        <w:tab/>
      </w:r>
      <w:r>
        <w:rPr>
          <w:rFonts w:hint="eastAsia" w:ascii="宋体" w:hAnsi="宋体" w:cs="宋体"/>
          <w:sz w:val="28"/>
          <w:szCs w:val="36"/>
        </w:rPr>
        <w:fldChar w:fldCharType="begin"/>
      </w:r>
      <w:r>
        <w:rPr>
          <w:rFonts w:hint="eastAsia" w:ascii="宋体" w:hAnsi="宋体" w:cs="宋体"/>
          <w:sz w:val="28"/>
          <w:szCs w:val="36"/>
        </w:rPr>
        <w:instrText xml:space="preserve"> PAGEREF _Toc15826 </w:instrText>
      </w:r>
      <w:r>
        <w:rPr>
          <w:rFonts w:hint="eastAsia" w:ascii="宋体" w:hAnsi="宋体" w:cs="宋体"/>
          <w:sz w:val="28"/>
          <w:szCs w:val="36"/>
        </w:rPr>
        <w:fldChar w:fldCharType="separate"/>
      </w:r>
      <w:r>
        <w:rPr>
          <w:rFonts w:hint="eastAsia" w:ascii="宋体" w:hAnsi="宋体" w:cs="宋体"/>
          <w:sz w:val="28"/>
          <w:szCs w:val="36"/>
        </w:rPr>
        <w:t>18</w:t>
      </w:r>
      <w:r>
        <w:rPr>
          <w:rFonts w:hint="eastAsia" w:ascii="宋体" w:hAnsi="宋体" w:cs="宋体"/>
          <w:sz w:val="28"/>
          <w:szCs w:val="36"/>
        </w:rPr>
        <w:fldChar w:fldCharType="end"/>
      </w:r>
      <w:r>
        <w:rPr>
          <w:rFonts w:hint="eastAsia" w:ascii="宋体" w:hAnsi="宋体" w:cs="宋体"/>
          <w:sz w:val="28"/>
          <w:szCs w:val="36"/>
        </w:rPr>
        <w:fldChar w:fldCharType="end"/>
      </w:r>
    </w:p>
    <w:p>
      <w:pPr>
        <w:pStyle w:val="17"/>
        <w:tabs>
          <w:tab w:val="right" w:leader="dot" w:pos="9746"/>
        </w:tabs>
        <w:rPr>
          <w:rFonts w:ascii="宋体" w:hAnsi="宋体" w:cs="宋体"/>
          <w:sz w:val="28"/>
          <w:szCs w:val="36"/>
        </w:rPr>
      </w:pPr>
    </w:p>
    <w:p>
      <w:pPr>
        <w:pStyle w:val="17"/>
        <w:tabs>
          <w:tab w:val="right" w:leader="dot" w:pos="9746"/>
        </w:tabs>
        <w:rPr>
          <w:rFonts w:ascii="宋体" w:hAnsi="宋体" w:cs="宋体"/>
          <w:sz w:val="28"/>
          <w:szCs w:val="44"/>
        </w:rPr>
      </w:pPr>
      <w:r>
        <w:fldChar w:fldCharType="begin"/>
      </w:r>
      <w:r>
        <w:instrText xml:space="preserve"> HYPERLINK \l "_Toc18706" </w:instrText>
      </w:r>
      <w:r>
        <w:fldChar w:fldCharType="separate"/>
      </w:r>
      <w:r>
        <w:rPr>
          <w:rFonts w:hint="eastAsia" w:ascii="宋体" w:hAnsi="宋体" w:cs="宋体"/>
          <w:sz w:val="28"/>
          <w:szCs w:val="52"/>
        </w:rPr>
        <w:t>第四章  合同文本及主要条款</w:t>
      </w:r>
      <w:r>
        <w:rPr>
          <w:rFonts w:hint="eastAsia" w:ascii="宋体" w:hAnsi="宋体" w:cs="宋体"/>
          <w:sz w:val="28"/>
          <w:szCs w:val="36"/>
        </w:rPr>
        <w:tab/>
      </w:r>
      <w:r>
        <w:rPr>
          <w:rFonts w:hint="eastAsia" w:ascii="宋体" w:hAnsi="宋体" w:cs="宋体"/>
          <w:sz w:val="28"/>
          <w:szCs w:val="36"/>
        </w:rPr>
        <w:fldChar w:fldCharType="begin"/>
      </w:r>
      <w:r>
        <w:rPr>
          <w:rFonts w:hint="eastAsia" w:ascii="宋体" w:hAnsi="宋体" w:cs="宋体"/>
          <w:sz w:val="28"/>
          <w:szCs w:val="36"/>
        </w:rPr>
        <w:instrText xml:space="preserve"> PAGEREF _Toc18706 </w:instrText>
      </w:r>
      <w:r>
        <w:rPr>
          <w:rFonts w:hint="eastAsia" w:ascii="宋体" w:hAnsi="宋体" w:cs="宋体"/>
          <w:sz w:val="28"/>
          <w:szCs w:val="36"/>
        </w:rPr>
        <w:fldChar w:fldCharType="separate"/>
      </w:r>
      <w:r>
        <w:rPr>
          <w:b/>
        </w:rPr>
        <w:t>错误！未定义书签。</w:t>
      </w:r>
      <w:r>
        <w:rPr>
          <w:rFonts w:hint="eastAsia" w:ascii="宋体" w:hAnsi="宋体" w:cs="宋体"/>
          <w:sz w:val="28"/>
          <w:szCs w:val="36"/>
        </w:rPr>
        <w:fldChar w:fldCharType="end"/>
      </w:r>
      <w:r>
        <w:rPr>
          <w:rFonts w:hint="eastAsia" w:ascii="宋体" w:hAnsi="宋体" w:cs="宋体"/>
          <w:sz w:val="28"/>
          <w:szCs w:val="36"/>
        </w:rPr>
        <w:fldChar w:fldCharType="end"/>
      </w:r>
    </w:p>
    <w:p>
      <w:pPr>
        <w:rPr>
          <w:rFonts w:ascii="宋体" w:hAnsi="宋体" w:cs="宋体"/>
          <w:sz w:val="28"/>
          <w:szCs w:val="36"/>
        </w:rPr>
      </w:pPr>
    </w:p>
    <w:p>
      <w:pPr>
        <w:pStyle w:val="17"/>
        <w:tabs>
          <w:tab w:val="right" w:leader="dot" w:pos="9746"/>
        </w:tabs>
        <w:rPr>
          <w:rFonts w:ascii="宋体" w:hAnsi="宋体" w:cs="宋体"/>
          <w:sz w:val="36"/>
          <w:szCs w:val="44"/>
        </w:rPr>
      </w:pPr>
      <w:r>
        <w:fldChar w:fldCharType="begin"/>
      </w:r>
      <w:r>
        <w:instrText xml:space="preserve"> HYPERLINK \l "_Toc13741" </w:instrText>
      </w:r>
      <w:r>
        <w:fldChar w:fldCharType="separate"/>
      </w:r>
      <w:r>
        <w:rPr>
          <w:rFonts w:hint="eastAsia" w:ascii="宋体" w:hAnsi="宋体" w:cs="宋体"/>
          <w:kern w:val="44"/>
          <w:sz w:val="28"/>
          <w:szCs w:val="52"/>
        </w:rPr>
        <w:t>第五章   投标文件格式</w:t>
      </w:r>
      <w:r>
        <w:rPr>
          <w:rFonts w:hint="eastAsia" w:ascii="宋体" w:hAnsi="宋体" w:cs="宋体"/>
          <w:sz w:val="28"/>
          <w:szCs w:val="36"/>
        </w:rPr>
        <w:tab/>
      </w:r>
      <w:r>
        <w:rPr>
          <w:rFonts w:hint="eastAsia" w:ascii="宋体" w:hAnsi="宋体" w:cs="宋体"/>
          <w:sz w:val="28"/>
          <w:szCs w:val="36"/>
        </w:rPr>
        <w:fldChar w:fldCharType="begin"/>
      </w:r>
      <w:r>
        <w:rPr>
          <w:rFonts w:hint="eastAsia" w:ascii="宋体" w:hAnsi="宋体" w:cs="宋体"/>
          <w:sz w:val="28"/>
          <w:szCs w:val="36"/>
        </w:rPr>
        <w:instrText xml:space="preserve"> PAGEREF _Toc13741 </w:instrText>
      </w:r>
      <w:r>
        <w:rPr>
          <w:rFonts w:hint="eastAsia" w:ascii="宋体" w:hAnsi="宋体" w:cs="宋体"/>
          <w:sz w:val="28"/>
          <w:szCs w:val="36"/>
        </w:rPr>
        <w:fldChar w:fldCharType="separate"/>
      </w:r>
      <w:r>
        <w:rPr>
          <w:rFonts w:hint="eastAsia" w:ascii="宋体" w:hAnsi="宋体" w:cs="宋体"/>
          <w:sz w:val="28"/>
          <w:szCs w:val="36"/>
        </w:rPr>
        <w:t>45</w:t>
      </w:r>
      <w:r>
        <w:rPr>
          <w:rFonts w:hint="eastAsia" w:ascii="宋体" w:hAnsi="宋体" w:cs="宋体"/>
          <w:sz w:val="28"/>
          <w:szCs w:val="36"/>
        </w:rPr>
        <w:fldChar w:fldCharType="end"/>
      </w:r>
      <w:r>
        <w:rPr>
          <w:rFonts w:hint="eastAsia" w:ascii="宋体" w:hAnsi="宋体" w:cs="宋体"/>
          <w:sz w:val="28"/>
          <w:szCs w:val="36"/>
        </w:rPr>
        <w:fldChar w:fldCharType="end"/>
      </w:r>
    </w:p>
    <w:p>
      <w:pPr>
        <w:adjustRightInd w:val="0"/>
        <w:snapToGrid w:val="0"/>
        <w:spacing w:line="360" w:lineRule="auto"/>
        <w:rPr>
          <w:rFonts w:ascii="宋体" w:hAnsi="宋体" w:cs="宋体"/>
        </w:rPr>
      </w:pPr>
      <w:r>
        <w:rPr>
          <w:rFonts w:hint="eastAsia" w:ascii="宋体" w:hAnsi="宋体" w:cs="宋体"/>
          <w:sz w:val="52"/>
          <w:szCs w:val="52"/>
        </w:rPr>
        <w:fldChar w:fldCharType="end"/>
      </w:r>
    </w:p>
    <w:p>
      <w:pPr>
        <w:adjustRightInd w:val="0"/>
        <w:snapToGrid w:val="0"/>
        <w:ind w:left="423" w:leftChars="200" w:hanging="3"/>
        <w:rPr>
          <w:rFonts w:ascii="宋体" w:hAnsi="宋体" w:cs="宋体"/>
        </w:rPr>
      </w:pPr>
      <w:r>
        <w:rPr>
          <w:rFonts w:hint="eastAsia" w:ascii="宋体" w:hAnsi="宋体" w:cs="宋体"/>
          <w:sz w:val="40"/>
          <w:szCs w:val="40"/>
        </w:rPr>
        <w:br w:type="page"/>
      </w:r>
    </w:p>
    <w:p>
      <w:pPr>
        <w:pStyle w:val="2"/>
        <w:numPr>
          <w:ilvl w:val="0"/>
          <w:numId w:val="2"/>
        </w:numPr>
        <w:adjustRightInd w:val="0"/>
        <w:snapToGrid w:val="0"/>
        <w:spacing w:line="360" w:lineRule="auto"/>
        <w:ind w:left="423" w:leftChars="200" w:hanging="3"/>
        <w:rPr>
          <w:rFonts w:ascii="宋体" w:hAnsi="宋体" w:eastAsia="宋体" w:cs="宋体"/>
        </w:rPr>
      </w:pPr>
      <w:bookmarkStart w:id="0" w:name="_Toc1998"/>
      <w:bookmarkStart w:id="1" w:name="_Toc21196"/>
      <w:r>
        <w:rPr>
          <w:rFonts w:hint="eastAsia" w:ascii="宋体" w:hAnsi="宋体" w:eastAsia="宋体" w:cs="宋体"/>
          <w:sz w:val="40"/>
          <w:szCs w:val="40"/>
        </w:rPr>
        <w:t>招标公告</w:t>
      </w:r>
      <w:bookmarkEnd w:id="0"/>
      <w:bookmarkEnd w:id="1"/>
    </w:p>
    <w:p>
      <w:pPr>
        <w:pStyle w:val="19"/>
        <w:adjustRightInd w:val="0"/>
        <w:snapToGrid w:val="0"/>
        <w:spacing w:before="0" w:after="0" w:line="360" w:lineRule="auto"/>
        <w:ind w:left="423" w:leftChars="200" w:hanging="3"/>
        <w:jc w:val="both"/>
        <w:rPr>
          <w:b/>
          <w:sz w:val="28"/>
          <w:szCs w:val="28"/>
        </w:rPr>
      </w:pPr>
      <w:r>
        <w:rPr>
          <w:rFonts w:hint="eastAsia"/>
          <w:b/>
          <w:sz w:val="28"/>
          <w:szCs w:val="28"/>
        </w:rPr>
        <w:t>一、招标编号：</w:t>
      </w:r>
      <w:r>
        <w:rPr>
          <w:rFonts w:hint="eastAsia"/>
          <w:b/>
          <w:sz w:val="28"/>
          <w:szCs w:val="28"/>
          <w:lang w:eastAsia="zh-CN"/>
        </w:rPr>
        <w:t>SLYYXFGZ-20200612</w:t>
      </w:r>
    </w:p>
    <w:p>
      <w:pPr>
        <w:pStyle w:val="19"/>
        <w:adjustRightInd w:val="0"/>
        <w:snapToGrid w:val="0"/>
        <w:spacing w:before="0" w:after="0" w:line="360" w:lineRule="auto"/>
        <w:ind w:left="423" w:leftChars="200" w:hanging="3"/>
        <w:jc w:val="both"/>
        <w:rPr>
          <w:rFonts w:hint="eastAsia"/>
          <w:b/>
          <w:sz w:val="28"/>
          <w:szCs w:val="28"/>
        </w:rPr>
      </w:pPr>
      <w:r>
        <w:rPr>
          <w:rFonts w:hint="eastAsia"/>
          <w:b/>
          <w:sz w:val="28"/>
          <w:szCs w:val="28"/>
        </w:rPr>
        <w:t>二、项目名称：</w:t>
      </w:r>
      <w:r>
        <w:rPr>
          <w:rFonts w:hint="eastAsia"/>
          <w:b/>
          <w:sz w:val="28"/>
          <w:szCs w:val="28"/>
          <w:lang w:eastAsia="zh-CN"/>
        </w:rPr>
        <w:t>六安世立医院</w:t>
      </w:r>
      <w:r>
        <w:rPr>
          <w:rFonts w:hint="eastAsia"/>
          <w:b/>
          <w:sz w:val="28"/>
          <w:szCs w:val="28"/>
        </w:rPr>
        <w:t>消防改造工程（外科楼、门诊楼）</w:t>
      </w:r>
    </w:p>
    <w:p>
      <w:pPr>
        <w:pStyle w:val="19"/>
        <w:adjustRightInd w:val="0"/>
        <w:snapToGrid w:val="0"/>
        <w:spacing w:before="0" w:after="0" w:line="360" w:lineRule="auto"/>
        <w:ind w:left="423" w:leftChars="200" w:hanging="3"/>
        <w:jc w:val="both"/>
        <w:rPr>
          <w:sz w:val="28"/>
          <w:szCs w:val="28"/>
        </w:rPr>
      </w:pPr>
      <w:r>
        <w:rPr>
          <w:rFonts w:hint="eastAsia"/>
          <w:b/>
          <w:sz w:val="28"/>
          <w:szCs w:val="28"/>
        </w:rPr>
        <w:t>三、项目实施地点：</w:t>
      </w:r>
      <w:r>
        <w:rPr>
          <w:rFonts w:hint="eastAsia"/>
          <w:b/>
          <w:sz w:val="28"/>
          <w:szCs w:val="28"/>
          <w:lang w:eastAsia="zh-CN"/>
        </w:rPr>
        <w:t>六安世立医院</w:t>
      </w:r>
      <w:r>
        <w:rPr>
          <w:rFonts w:hint="eastAsia"/>
          <w:b/>
          <w:sz w:val="28"/>
          <w:szCs w:val="28"/>
        </w:rPr>
        <w:t xml:space="preserve">内 </w:t>
      </w:r>
    </w:p>
    <w:p>
      <w:pPr>
        <w:pStyle w:val="19"/>
        <w:adjustRightInd w:val="0"/>
        <w:snapToGrid w:val="0"/>
        <w:spacing w:before="0" w:after="0" w:line="360" w:lineRule="auto"/>
        <w:ind w:left="423" w:leftChars="200" w:hanging="3"/>
        <w:jc w:val="both"/>
        <w:rPr>
          <w:sz w:val="28"/>
          <w:szCs w:val="28"/>
        </w:rPr>
      </w:pPr>
      <w:r>
        <w:rPr>
          <w:rFonts w:hint="eastAsia"/>
          <w:b/>
          <w:sz w:val="28"/>
          <w:szCs w:val="28"/>
        </w:rPr>
        <w:t>四、项目实施主体（招标人）：六安世立医院有限公司</w:t>
      </w:r>
    </w:p>
    <w:p>
      <w:pPr>
        <w:pStyle w:val="19"/>
        <w:adjustRightInd w:val="0"/>
        <w:snapToGrid w:val="0"/>
        <w:spacing w:before="0" w:after="0" w:line="360" w:lineRule="auto"/>
        <w:ind w:left="423" w:leftChars="200" w:hanging="3"/>
        <w:jc w:val="both"/>
        <w:rPr>
          <w:b/>
          <w:sz w:val="28"/>
          <w:szCs w:val="28"/>
        </w:rPr>
      </w:pPr>
      <w:r>
        <w:rPr>
          <w:rFonts w:hint="eastAsia"/>
          <w:b/>
          <w:sz w:val="28"/>
          <w:szCs w:val="28"/>
        </w:rPr>
        <w:t>五、项目实施主体（招标人）地址：六安市裕安区磨子潭路</w:t>
      </w:r>
    </w:p>
    <w:p>
      <w:pPr>
        <w:pStyle w:val="19"/>
        <w:adjustRightInd w:val="0"/>
        <w:snapToGrid w:val="0"/>
        <w:spacing w:before="0" w:after="0" w:line="360" w:lineRule="auto"/>
        <w:ind w:left="423" w:leftChars="200" w:hanging="3"/>
        <w:jc w:val="both"/>
        <w:rPr>
          <w:sz w:val="28"/>
          <w:szCs w:val="28"/>
        </w:rPr>
      </w:pPr>
      <w:r>
        <w:rPr>
          <w:rFonts w:hint="eastAsia"/>
          <w:b/>
          <w:sz w:val="28"/>
          <w:szCs w:val="28"/>
        </w:rPr>
        <w:t>六、项目类型</w:t>
      </w:r>
      <w:r>
        <w:rPr>
          <w:rFonts w:hint="eastAsia"/>
          <w:sz w:val="28"/>
          <w:szCs w:val="28"/>
        </w:rPr>
        <w:t>：</w:t>
      </w:r>
      <w:r>
        <w:rPr>
          <w:rFonts w:hint="eastAsia"/>
          <w:b/>
          <w:bCs/>
          <w:sz w:val="28"/>
          <w:szCs w:val="28"/>
        </w:rPr>
        <w:t>工程类</w:t>
      </w:r>
    </w:p>
    <w:p>
      <w:pPr>
        <w:pStyle w:val="19"/>
        <w:adjustRightInd w:val="0"/>
        <w:snapToGrid w:val="0"/>
        <w:spacing w:before="0" w:after="0" w:line="360" w:lineRule="auto"/>
        <w:ind w:left="423" w:leftChars="200" w:hanging="3"/>
        <w:jc w:val="both"/>
        <w:rPr>
          <w:sz w:val="28"/>
          <w:szCs w:val="28"/>
        </w:rPr>
      </w:pPr>
      <w:r>
        <w:rPr>
          <w:rFonts w:hint="eastAsia"/>
          <w:b/>
          <w:sz w:val="28"/>
          <w:szCs w:val="28"/>
        </w:rPr>
        <w:t>七、招标方式：公开招标</w:t>
      </w:r>
    </w:p>
    <w:p>
      <w:pPr>
        <w:pStyle w:val="19"/>
        <w:adjustRightInd w:val="0"/>
        <w:snapToGrid w:val="0"/>
        <w:spacing w:before="0" w:after="0" w:line="360" w:lineRule="auto"/>
        <w:ind w:left="423" w:leftChars="200" w:hanging="3"/>
        <w:jc w:val="both"/>
        <w:rPr>
          <w:sz w:val="28"/>
          <w:szCs w:val="28"/>
        </w:rPr>
      </w:pPr>
      <w:r>
        <w:rPr>
          <w:rFonts w:hint="eastAsia"/>
          <w:b/>
          <w:sz w:val="28"/>
          <w:szCs w:val="28"/>
        </w:rPr>
        <w:t>八、项目概况、投资规模：</w:t>
      </w:r>
    </w:p>
    <w:p>
      <w:pPr>
        <w:pStyle w:val="19"/>
        <w:adjustRightInd w:val="0"/>
        <w:snapToGrid w:val="0"/>
        <w:spacing w:before="0" w:after="0" w:line="360" w:lineRule="auto"/>
        <w:ind w:firstLine="560" w:firstLineChars="200"/>
        <w:jc w:val="both"/>
      </w:pPr>
      <w:r>
        <w:rPr>
          <w:rFonts w:hint="eastAsia"/>
          <w:sz w:val="28"/>
          <w:szCs w:val="28"/>
        </w:rPr>
        <w:t>本工程主要为室外消防、住院部、门诊部、医技楼消防改造工程，包括通风管道安装、排烟风机、送风机、应急照明灯具、喷淋系统、消火栓系统、喷淋泵、消火栓泵安装、室外闸阀井砌筑、配电箱安装、管道土方开挖及回填及原天棚吊顶影响消防施工的对其进行拆除。具体详见工程量清单。项目投资约7</w:t>
      </w:r>
      <w:r>
        <w:rPr>
          <w:rFonts w:hint="eastAsia"/>
          <w:sz w:val="28"/>
          <w:szCs w:val="28"/>
          <w:lang w:val="en-US" w:eastAsia="zh-CN"/>
        </w:rPr>
        <w:t>8</w:t>
      </w:r>
      <w:r>
        <w:rPr>
          <w:rFonts w:hint="eastAsia"/>
          <w:sz w:val="28"/>
          <w:szCs w:val="28"/>
        </w:rPr>
        <w:t>0万元。</w:t>
      </w:r>
    </w:p>
    <w:p>
      <w:pPr>
        <w:pStyle w:val="19"/>
        <w:adjustRightInd w:val="0"/>
        <w:snapToGrid w:val="0"/>
        <w:spacing w:before="0" w:after="0" w:line="360" w:lineRule="auto"/>
        <w:ind w:left="423" w:leftChars="200" w:hanging="3"/>
        <w:jc w:val="both"/>
        <w:rPr>
          <w:sz w:val="28"/>
          <w:szCs w:val="28"/>
        </w:rPr>
      </w:pPr>
      <w:r>
        <w:rPr>
          <w:rFonts w:hint="eastAsia"/>
          <w:b/>
          <w:sz w:val="28"/>
          <w:szCs w:val="28"/>
        </w:rPr>
        <w:t>九、资金来源：企业自筹</w:t>
      </w:r>
    </w:p>
    <w:p>
      <w:pPr>
        <w:pStyle w:val="19"/>
        <w:adjustRightInd w:val="0"/>
        <w:snapToGrid w:val="0"/>
        <w:spacing w:before="0" w:after="0" w:line="360" w:lineRule="auto"/>
        <w:ind w:left="423" w:leftChars="200" w:hanging="3"/>
        <w:jc w:val="both"/>
        <w:rPr>
          <w:sz w:val="28"/>
          <w:szCs w:val="28"/>
        </w:rPr>
      </w:pPr>
      <w:r>
        <w:rPr>
          <w:rFonts w:hint="eastAsia"/>
          <w:b/>
          <w:sz w:val="28"/>
          <w:szCs w:val="28"/>
        </w:rPr>
        <w:t>十、计划工期：</w:t>
      </w:r>
      <w:r>
        <w:rPr>
          <w:rFonts w:hint="eastAsia"/>
          <w:b/>
          <w:sz w:val="28"/>
          <w:szCs w:val="28"/>
          <w:lang w:val="en-US" w:eastAsia="zh-CN"/>
        </w:rPr>
        <w:t>9</w:t>
      </w:r>
      <w:r>
        <w:rPr>
          <w:rFonts w:hint="eastAsia"/>
          <w:b/>
          <w:sz w:val="28"/>
          <w:szCs w:val="28"/>
        </w:rPr>
        <w:t>0日历天</w:t>
      </w:r>
    </w:p>
    <w:p>
      <w:pPr>
        <w:pStyle w:val="19"/>
        <w:adjustRightInd w:val="0"/>
        <w:snapToGrid w:val="0"/>
        <w:spacing w:before="0" w:after="0" w:line="360" w:lineRule="auto"/>
        <w:ind w:left="423" w:leftChars="200" w:hanging="3"/>
        <w:jc w:val="both"/>
        <w:rPr>
          <w:sz w:val="28"/>
          <w:szCs w:val="28"/>
        </w:rPr>
      </w:pPr>
      <w:r>
        <w:rPr>
          <w:rFonts w:hint="eastAsia"/>
          <w:b/>
          <w:sz w:val="28"/>
          <w:szCs w:val="28"/>
        </w:rPr>
        <w:t xml:space="preserve">十一、投标人资质、资格要求： </w:t>
      </w:r>
    </w:p>
    <w:p>
      <w:pPr>
        <w:pStyle w:val="19"/>
        <w:adjustRightInd w:val="0"/>
        <w:snapToGrid w:val="0"/>
        <w:spacing w:before="0" w:after="0" w:line="360" w:lineRule="auto"/>
        <w:ind w:left="423" w:leftChars="200" w:hanging="3"/>
        <w:jc w:val="both"/>
        <w:rPr>
          <w:b/>
          <w:sz w:val="28"/>
          <w:szCs w:val="28"/>
        </w:rPr>
      </w:pPr>
      <w:r>
        <w:rPr>
          <w:rFonts w:hint="eastAsia"/>
          <w:b/>
          <w:sz w:val="28"/>
          <w:szCs w:val="28"/>
        </w:rPr>
        <w:t>1、企业资质要求：独立法人资格,</w:t>
      </w:r>
    </w:p>
    <w:p>
      <w:pPr>
        <w:pStyle w:val="19"/>
        <w:adjustRightInd w:val="0"/>
        <w:snapToGrid w:val="0"/>
        <w:spacing w:before="0" w:after="0" w:line="360" w:lineRule="auto"/>
        <w:ind w:left="2774" w:leftChars="1321"/>
        <w:jc w:val="both"/>
        <w:rPr>
          <w:b/>
          <w:sz w:val="28"/>
          <w:szCs w:val="28"/>
        </w:rPr>
      </w:pPr>
      <w:r>
        <w:rPr>
          <w:rFonts w:hint="eastAsia"/>
          <w:b/>
          <w:sz w:val="28"/>
          <w:szCs w:val="28"/>
        </w:rPr>
        <w:t>具备消防设施工程专业承包</w:t>
      </w:r>
      <w:r>
        <w:rPr>
          <w:rFonts w:hint="eastAsia"/>
          <w:b/>
          <w:color w:val="FF0000"/>
          <w:sz w:val="28"/>
          <w:szCs w:val="28"/>
        </w:rPr>
        <w:t>壹级</w:t>
      </w:r>
      <w:r>
        <w:rPr>
          <w:rFonts w:hint="eastAsia"/>
          <w:b/>
          <w:sz w:val="28"/>
          <w:szCs w:val="28"/>
        </w:rPr>
        <w:t>及以上资质,具备有效的安全生产许可证；</w:t>
      </w:r>
    </w:p>
    <w:p>
      <w:pPr>
        <w:pStyle w:val="19"/>
        <w:adjustRightInd w:val="0"/>
        <w:snapToGrid w:val="0"/>
        <w:spacing w:before="0" w:after="0" w:line="360" w:lineRule="auto"/>
        <w:ind w:left="423" w:leftChars="200" w:hanging="3"/>
        <w:jc w:val="both"/>
        <w:rPr>
          <w:b/>
          <w:sz w:val="28"/>
          <w:szCs w:val="28"/>
        </w:rPr>
      </w:pPr>
      <w:r>
        <w:rPr>
          <w:rFonts w:hint="eastAsia"/>
          <w:b/>
          <w:sz w:val="28"/>
          <w:szCs w:val="28"/>
        </w:rPr>
        <w:t>2、项目经理资质要求：</w:t>
      </w:r>
    </w:p>
    <w:p>
      <w:pPr>
        <w:pStyle w:val="19"/>
        <w:adjustRightInd w:val="0"/>
        <w:snapToGrid w:val="0"/>
        <w:spacing w:before="0" w:after="0" w:line="360" w:lineRule="auto"/>
        <w:ind w:left="1930" w:leftChars="919"/>
        <w:jc w:val="both"/>
        <w:rPr>
          <w:b/>
          <w:sz w:val="28"/>
          <w:szCs w:val="28"/>
        </w:rPr>
      </w:pPr>
      <w:r>
        <w:rPr>
          <w:rFonts w:hint="eastAsia"/>
          <w:b/>
          <w:sz w:val="28"/>
          <w:szCs w:val="28"/>
        </w:rPr>
        <w:t>具备机电工程专业贰级及以上注册建造师执业资格，具备有效的安全生产考核合格 B 证，</w:t>
      </w:r>
    </w:p>
    <w:p>
      <w:pPr>
        <w:pStyle w:val="19"/>
        <w:adjustRightInd w:val="0"/>
        <w:snapToGrid w:val="0"/>
        <w:spacing w:before="0" w:after="0" w:line="360" w:lineRule="auto"/>
        <w:ind w:left="1930" w:leftChars="919"/>
        <w:jc w:val="both"/>
        <w:rPr>
          <w:b/>
          <w:sz w:val="28"/>
          <w:szCs w:val="28"/>
        </w:rPr>
      </w:pPr>
      <w:r>
        <w:rPr>
          <w:rFonts w:hint="eastAsia"/>
          <w:b/>
          <w:sz w:val="28"/>
          <w:szCs w:val="28"/>
        </w:rPr>
        <w:t>未担任其他在建或已中标工程项目的项目经理；</w:t>
      </w:r>
    </w:p>
    <w:p>
      <w:pPr>
        <w:pStyle w:val="19"/>
        <w:adjustRightInd w:val="0"/>
        <w:snapToGrid w:val="0"/>
        <w:spacing w:before="0" w:after="0" w:line="360" w:lineRule="auto"/>
        <w:ind w:left="423" w:leftChars="200" w:hanging="3"/>
        <w:jc w:val="both"/>
        <w:rPr>
          <w:b/>
          <w:sz w:val="28"/>
          <w:szCs w:val="28"/>
        </w:rPr>
      </w:pPr>
      <w:r>
        <w:rPr>
          <w:rFonts w:hint="eastAsia"/>
          <w:b/>
          <w:sz w:val="28"/>
          <w:szCs w:val="28"/>
        </w:rPr>
        <w:t>3、本项目不接受联合体投标；</w:t>
      </w:r>
    </w:p>
    <w:p>
      <w:pPr>
        <w:pStyle w:val="19"/>
        <w:adjustRightInd w:val="0"/>
        <w:snapToGrid w:val="0"/>
        <w:spacing w:before="0" w:after="0" w:line="360" w:lineRule="auto"/>
        <w:ind w:left="423" w:leftChars="200" w:hanging="3"/>
        <w:jc w:val="both"/>
        <w:rPr>
          <w:b/>
          <w:sz w:val="28"/>
          <w:szCs w:val="28"/>
        </w:rPr>
      </w:pPr>
      <w:r>
        <w:rPr>
          <w:rFonts w:hint="eastAsia"/>
          <w:b/>
          <w:sz w:val="28"/>
          <w:szCs w:val="28"/>
        </w:rPr>
        <w:t>4、企业业绩要求：近5年（</w:t>
      </w:r>
      <w:r>
        <w:rPr>
          <w:rFonts w:hint="eastAsia"/>
          <w:b/>
          <w:color w:val="FF0000"/>
          <w:sz w:val="28"/>
          <w:szCs w:val="28"/>
        </w:rPr>
        <w:t>2015年1月1日起至今，以竣工验</w:t>
      </w:r>
      <w:r>
        <w:rPr>
          <w:rFonts w:hint="eastAsia"/>
          <w:b/>
          <w:color w:val="00B050"/>
          <w:sz w:val="28"/>
          <w:szCs w:val="28"/>
        </w:rPr>
        <w:t>收</w:t>
      </w:r>
      <w:r>
        <w:rPr>
          <w:rFonts w:hint="eastAsia"/>
          <w:b/>
          <w:color w:val="FF0000"/>
          <w:sz w:val="28"/>
          <w:szCs w:val="28"/>
        </w:rPr>
        <w:t>时间为准、需提供竣工备案资料</w:t>
      </w:r>
      <w:r>
        <w:rPr>
          <w:rFonts w:hint="eastAsia"/>
          <w:b/>
          <w:sz w:val="28"/>
          <w:szCs w:val="28"/>
        </w:rPr>
        <w:t>）承担过单项工程合同金额500万元（含）以上的公共建筑消防工程，开标现场提供合同原件查验；</w:t>
      </w:r>
    </w:p>
    <w:p>
      <w:pPr>
        <w:pStyle w:val="19"/>
        <w:adjustRightInd w:val="0"/>
        <w:snapToGrid w:val="0"/>
        <w:spacing w:before="0" w:after="0" w:line="360" w:lineRule="auto"/>
        <w:ind w:left="423" w:leftChars="200" w:hanging="3"/>
        <w:jc w:val="both"/>
        <w:rPr>
          <w:sz w:val="28"/>
          <w:szCs w:val="28"/>
        </w:rPr>
      </w:pPr>
      <w:r>
        <w:rPr>
          <w:rFonts w:hint="eastAsia"/>
          <w:b/>
          <w:sz w:val="28"/>
          <w:szCs w:val="28"/>
        </w:rPr>
        <w:t>5、企业不得出借本企业的资质、证照以及本企业工作人员的资质、证照供他人投标。对出借资质、证照等的，无论何时发现，属于投标未中标的，其投标保证金不予退还，是否给予违规投标人投标资格限制及投标资格限制期限应当按照《中华人民共和国招标投标法》及《中华人民共和国招标投标法实施条例》相关规定进行处理；属于已中标的，取消其中标资格或终止合同，其投标保证金、履约保证金不予退还，是否给予违规中标人投标资格限制及投标资格限制期限应当按照《中华人民共和国招标投标法》及《中华人民共和国招标投标法实施条例》相关规定进行处理。</w:t>
      </w:r>
    </w:p>
    <w:p>
      <w:pPr>
        <w:pStyle w:val="19"/>
        <w:adjustRightInd w:val="0"/>
        <w:snapToGrid w:val="0"/>
        <w:spacing w:before="0" w:after="0" w:line="360" w:lineRule="auto"/>
        <w:ind w:left="423" w:leftChars="200" w:hanging="3"/>
        <w:jc w:val="both"/>
        <w:rPr>
          <w:sz w:val="28"/>
          <w:szCs w:val="28"/>
        </w:rPr>
      </w:pPr>
      <w:r>
        <w:rPr>
          <w:rFonts w:hint="eastAsia"/>
          <w:b/>
          <w:sz w:val="28"/>
          <w:szCs w:val="28"/>
        </w:rPr>
        <w:t>十二、招标范围：</w:t>
      </w:r>
      <w:r>
        <w:rPr>
          <w:rFonts w:hint="eastAsia"/>
          <w:b/>
          <w:bCs/>
          <w:sz w:val="28"/>
          <w:szCs w:val="28"/>
        </w:rPr>
        <w:t>具体详见招标文件、工程量清单及施工图纸等</w:t>
      </w:r>
      <w:r>
        <w:rPr>
          <w:rFonts w:hint="eastAsia"/>
          <w:b/>
          <w:bCs/>
          <w:sz w:val="22"/>
          <w:szCs w:val="22"/>
        </w:rPr>
        <w:t>。</w:t>
      </w:r>
    </w:p>
    <w:p>
      <w:pPr>
        <w:pStyle w:val="19"/>
        <w:adjustRightInd w:val="0"/>
        <w:snapToGrid w:val="0"/>
        <w:spacing w:before="0" w:after="0" w:line="360" w:lineRule="auto"/>
        <w:ind w:left="423" w:leftChars="200" w:hanging="3"/>
        <w:jc w:val="both"/>
        <w:rPr>
          <w:b/>
          <w:bCs/>
          <w:sz w:val="28"/>
          <w:szCs w:val="28"/>
        </w:rPr>
      </w:pPr>
      <w:r>
        <w:rPr>
          <w:rFonts w:hint="eastAsia"/>
          <w:b/>
          <w:sz w:val="28"/>
          <w:szCs w:val="28"/>
        </w:rPr>
        <w:t>十三、标段数：</w:t>
      </w:r>
      <w:r>
        <w:rPr>
          <w:rFonts w:hint="eastAsia"/>
          <w:b/>
          <w:bCs/>
          <w:sz w:val="28"/>
          <w:szCs w:val="28"/>
        </w:rPr>
        <w:t>1个</w:t>
      </w:r>
    </w:p>
    <w:p>
      <w:pPr>
        <w:pStyle w:val="19"/>
        <w:adjustRightInd w:val="0"/>
        <w:snapToGrid w:val="0"/>
        <w:spacing w:before="0" w:after="0" w:line="360" w:lineRule="auto"/>
        <w:ind w:left="423" w:leftChars="200" w:hanging="3"/>
        <w:jc w:val="both"/>
        <w:rPr>
          <w:b/>
          <w:bCs/>
          <w:sz w:val="28"/>
          <w:szCs w:val="28"/>
        </w:rPr>
      </w:pPr>
      <w:r>
        <w:rPr>
          <w:rFonts w:hint="eastAsia"/>
          <w:b/>
          <w:sz w:val="28"/>
          <w:szCs w:val="28"/>
        </w:rPr>
        <w:t>十四、公告发布时间：</w:t>
      </w:r>
      <w:r>
        <w:rPr>
          <w:rFonts w:hint="eastAsia"/>
          <w:b/>
          <w:bCs/>
          <w:sz w:val="28"/>
          <w:szCs w:val="28"/>
        </w:rPr>
        <w:t xml:space="preserve">2020年  </w:t>
      </w:r>
      <w:r>
        <w:rPr>
          <w:rFonts w:hint="eastAsia"/>
          <w:b/>
          <w:bCs/>
          <w:sz w:val="28"/>
          <w:szCs w:val="28"/>
          <w:lang w:val="en-US" w:eastAsia="zh-CN"/>
        </w:rPr>
        <w:t>6</w:t>
      </w:r>
      <w:r>
        <w:rPr>
          <w:rFonts w:hint="eastAsia"/>
          <w:b/>
          <w:bCs/>
          <w:sz w:val="28"/>
          <w:szCs w:val="28"/>
        </w:rPr>
        <w:t xml:space="preserve">月 </w:t>
      </w:r>
      <w:r>
        <w:rPr>
          <w:rFonts w:hint="eastAsia"/>
          <w:b/>
          <w:bCs/>
          <w:sz w:val="28"/>
          <w:szCs w:val="28"/>
          <w:lang w:val="en-US" w:eastAsia="zh-CN"/>
        </w:rPr>
        <w:t>15</w:t>
      </w:r>
      <w:r>
        <w:rPr>
          <w:rFonts w:hint="eastAsia"/>
          <w:b/>
          <w:bCs/>
          <w:sz w:val="28"/>
          <w:szCs w:val="28"/>
        </w:rPr>
        <w:t xml:space="preserve">  日</w:t>
      </w:r>
    </w:p>
    <w:p>
      <w:pPr>
        <w:pStyle w:val="19"/>
        <w:spacing w:before="0" w:after="0" w:line="360" w:lineRule="auto"/>
        <w:jc w:val="both"/>
        <w:rPr>
          <w:rFonts w:ascii="仿宋_GB2312" w:eastAsia="仿宋_GB2312" w:cs="仿宋_GB2312"/>
          <w:sz w:val="32"/>
          <w:szCs w:val="32"/>
        </w:rPr>
      </w:pPr>
      <w:r>
        <w:rPr>
          <w:rFonts w:hint="eastAsia"/>
          <w:b/>
          <w:sz w:val="28"/>
          <w:szCs w:val="28"/>
        </w:rPr>
        <w:t>十五、公告发布媒介</w:t>
      </w:r>
      <w:r>
        <w:rPr>
          <w:rFonts w:hint="eastAsia" w:ascii="仿宋_GB2312" w:hAnsi="微软雅黑" w:eastAsia="仿宋_GB2312" w:cs="仿宋_GB2312"/>
          <w:b/>
          <w:color w:val="333333"/>
          <w:sz w:val="32"/>
          <w:szCs w:val="32"/>
        </w:rPr>
        <w:t>招标网、采购与招标网及世立医院网</w:t>
      </w:r>
      <w:r>
        <w:rPr>
          <w:rFonts w:ascii="仿宋_GB2312" w:hAnsi="微软雅黑" w:eastAsia="仿宋_GB2312" w:cs="仿宋_GB2312"/>
          <w:color w:val="333333"/>
          <w:sz w:val="28"/>
          <w:szCs w:val="28"/>
        </w:rPr>
        <w:t>（www.bidchance.com</w:t>
      </w:r>
      <w:r>
        <w:rPr>
          <w:rFonts w:hint="eastAsia" w:ascii="仿宋_GB2312" w:hAnsi="微软雅黑" w:eastAsia="仿宋_GB2312" w:cs="仿宋_GB2312"/>
          <w:color w:val="333333"/>
          <w:sz w:val="28"/>
          <w:szCs w:val="28"/>
        </w:rPr>
        <w:t>/https://www.chinabidding.cn/</w:t>
      </w:r>
      <w:r>
        <w:rPr>
          <w:rFonts w:ascii="仿宋_GB2312" w:hAnsi="微软雅黑" w:eastAsia="仿宋_GB2312" w:cs="仿宋_GB2312"/>
          <w:color w:val="333333"/>
          <w:sz w:val="28"/>
          <w:szCs w:val="28"/>
        </w:rPr>
        <w:t>http://www.laslyy.com/）</w:t>
      </w:r>
    </w:p>
    <w:p>
      <w:pPr>
        <w:pStyle w:val="19"/>
        <w:adjustRightInd w:val="0"/>
        <w:snapToGrid w:val="0"/>
        <w:spacing w:before="0" w:after="0" w:line="360" w:lineRule="auto"/>
        <w:ind w:left="423" w:leftChars="200" w:hanging="3"/>
        <w:jc w:val="both"/>
        <w:rPr>
          <w:b/>
          <w:bCs/>
          <w:sz w:val="28"/>
          <w:szCs w:val="28"/>
        </w:rPr>
      </w:pPr>
      <w:r>
        <w:rPr>
          <w:rFonts w:hint="eastAsia"/>
          <w:b/>
          <w:sz w:val="28"/>
          <w:szCs w:val="28"/>
        </w:rPr>
        <w:t>十六、项目开标时间：</w:t>
      </w:r>
      <w:r>
        <w:rPr>
          <w:rFonts w:hint="eastAsia"/>
          <w:b/>
          <w:bCs/>
          <w:sz w:val="28"/>
          <w:szCs w:val="28"/>
        </w:rPr>
        <w:t xml:space="preserve">2020年 </w:t>
      </w:r>
      <w:r>
        <w:rPr>
          <w:rFonts w:hint="eastAsia"/>
          <w:b/>
          <w:bCs/>
          <w:sz w:val="28"/>
          <w:szCs w:val="28"/>
          <w:lang w:val="en-US" w:eastAsia="zh-CN"/>
        </w:rPr>
        <w:t>7</w:t>
      </w:r>
      <w:r>
        <w:rPr>
          <w:rFonts w:hint="eastAsia"/>
          <w:b/>
          <w:bCs/>
          <w:sz w:val="28"/>
          <w:szCs w:val="28"/>
        </w:rPr>
        <w:t xml:space="preserve">  月  </w:t>
      </w:r>
      <w:r>
        <w:rPr>
          <w:rFonts w:hint="eastAsia"/>
          <w:b/>
          <w:bCs/>
          <w:sz w:val="28"/>
          <w:szCs w:val="28"/>
          <w:lang w:val="en-US" w:eastAsia="zh-CN"/>
        </w:rPr>
        <w:t>11</w:t>
      </w:r>
      <w:r>
        <w:rPr>
          <w:rFonts w:hint="eastAsia"/>
          <w:b/>
          <w:bCs/>
          <w:sz w:val="28"/>
          <w:szCs w:val="28"/>
        </w:rPr>
        <w:t xml:space="preserve">  日</w:t>
      </w:r>
      <w:r>
        <w:rPr>
          <w:rFonts w:hint="eastAsia"/>
          <w:b/>
          <w:bCs/>
          <w:sz w:val="28"/>
          <w:szCs w:val="28"/>
          <w:lang w:val="en-US" w:eastAsia="zh-CN"/>
        </w:rPr>
        <w:t>9</w:t>
      </w:r>
      <w:r>
        <w:rPr>
          <w:rFonts w:hint="eastAsia"/>
          <w:b/>
          <w:bCs/>
          <w:sz w:val="28"/>
          <w:szCs w:val="28"/>
        </w:rPr>
        <w:t>时00分</w:t>
      </w:r>
    </w:p>
    <w:p>
      <w:pPr>
        <w:pStyle w:val="19"/>
        <w:adjustRightInd w:val="0"/>
        <w:snapToGrid w:val="0"/>
        <w:spacing w:before="0" w:after="0" w:line="360" w:lineRule="auto"/>
        <w:ind w:left="423" w:leftChars="200" w:hanging="3"/>
        <w:jc w:val="both"/>
        <w:rPr>
          <w:b/>
          <w:sz w:val="28"/>
          <w:szCs w:val="28"/>
        </w:rPr>
      </w:pPr>
      <w:r>
        <w:rPr>
          <w:rFonts w:hint="eastAsia"/>
          <w:b/>
          <w:sz w:val="28"/>
          <w:szCs w:val="28"/>
        </w:rPr>
        <w:t>十七、招标文件获取及费用支付方式：招标代理机构处领取（含工程量清单、答疑澄清文件等）</w:t>
      </w:r>
    </w:p>
    <w:p>
      <w:pPr>
        <w:pStyle w:val="19"/>
        <w:adjustRightInd w:val="0"/>
        <w:snapToGrid w:val="0"/>
        <w:spacing w:before="0" w:after="0" w:line="360" w:lineRule="auto"/>
        <w:ind w:left="423" w:leftChars="200" w:hanging="3"/>
        <w:jc w:val="both"/>
        <w:rPr>
          <w:sz w:val="28"/>
          <w:szCs w:val="28"/>
        </w:rPr>
      </w:pPr>
      <w:r>
        <w:rPr>
          <w:rFonts w:hint="eastAsia"/>
          <w:b/>
          <w:sz w:val="28"/>
          <w:szCs w:val="28"/>
        </w:rPr>
        <w:t>十八、资格审查方式：资格后审</w:t>
      </w:r>
    </w:p>
    <w:p>
      <w:pPr>
        <w:pStyle w:val="19"/>
        <w:adjustRightInd w:val="0"/>
        <w:snapToGrid w:val="0"/>
        <w:spacing w:before="0" w:after="0" w:line="360" w:lineRule="auto"/>
        <w:ind w:left="423" w:leftChars="200" w:hanging="3"/>
        <w:jc w:val="both"/>
        <w:rPr>
          <w:b/>
          <w:color w:val="FF0000"/>
          <w:sz w:val="28"/>
          <w:szCs w:val="28"/>
        </w:rPr>
      </w:pPr>
      <w:r>
        <w:rPr>
          <w:rFonts w:hint="eastAsia"/>
          <w:b/>
          <w:sz w:val="28"/>
          <w:szCs w:val="28"/>
        </w:rPr>
        <w:t>十九、评标办法：</w:t>
      </w:r>
      <w:r>
        <w:rPr>
          <w:rFonts w:hint="eastAsia"/>
          <w:b/>
          <w:color w:val="FF0000"/>
          <w:sz w:val="28"/>
          <w:szCs w:val="28"/>
        </w:rPr>
        <w:t>二阶段评标法（综合评分+二轮商务谈判），详见招标文件</w:t>
      </w:r>
    </w:p>
    <w:p>
      <w:pPr>
        <w:pStyle w:val="19"/>
        <w:adjustRightInd w:val="0"/>
        <w:snapToGrid w:val="0"/>
        <w:spacing w:before="0" w:after="0" w:line="360" w:lineRule="auto"/>
        <w:ind w:left="423" w:leftChars="200" w:hanging="3"/>
        <w:jc w:val="both"/>
        <w:rPr>
          <w:sz w:val="28"/>
          <w:szCs w:val="28"/>
        </w:rPr>
      </w:pPr>
      <w:r>
        <w:rPr>
          <w:rFonts w:hint="eastAsia"/>
          <w:b/>
          <w:sz w:val="28"/>
          <w:szCs w:val="28"/>
        </w:rPr>
        <w:t>二十、其他注意事项：</w:t>
      </w:r>
    </w:p>
    <w:p>
      <w:pPr>
        <w:pStyle w:val="19"/>
        <w:numPr>
          <w:ilvl w:val="0"/>
          <w:numId w:val="3"/>
        </w:numPr>
        <w:adjustRightInd w:val="0"/>
        <w:snapToGrid w:val="0"/>
        <w:spacing w:before="0" w:after="0" w:line="360" w:lineRule="auto"/>
        <w:ind w:left="423" w:leftChars="200" w:hanging="3"/>
        <w:jc w:val="both"/>
        <w:rPr>
          <w:b/>
          <w:bCs/>
          <w:color w:val="FF0000"/>
          <w:sz w:val="28"/>
          <w:szCs w:val="28"/>
        </w:rPr>
      </w:pPr>
      <w:r>
        <w:rPr>
          <w:rFonts w:hint="eastAsia"/>
          <w:sz w:val="28"/>
          <w:szCs w:val="28"/>
        </w:rPr>
        <w:t>本项目投标人在标前必须现场踏勘并形成踏勘记录，现场踏勘环节要求投标人与招标人沟通项目验收所需资料，</w:t>
      </w:r>
      <w:r>
        <w:rPr>
          <w:rFonts w:hint="eastAsia"/>
          <w:b/>
          <w:bCs/>
          <w:color w:val="FF0000"/>
          <w:sz w:val="28"/>
          <w:szCs w:val="28"/>
        </w:rPr>
        <w:t>了解并审核现有涉及招标范围内消防工程的全部资料内容，承诺</w:t>
      </w:r>
      <w:r>
        <w:rPr>
          <w:rFonts w:hint="eastAsia"/>
          <w:b/>
          <w:bCs/>
          <w:color w:val="FF0000"/>
          <w:sz w:val="28"/>
          <w:szCs w:val="28"/>
          <w:lang w:eastAsia="zh-CN"/>
        </w:rPr>
        <w:t>六安世立医院</w:t>
      </w:r>
      <w:r>
        <w:rPr>
          <w:rFonts w:hint="eastAsia"/>
          <w:b/>
          <w:bCs/>
          <w:color w:val="FF0000"/>
          <w:sz w:val="28"/>
          <w:szCs w:val="28"/>
        </w:rPr>
        <w:t>消防改造工程（外科楼、门诊楼）按合同约定时间通过消防验收同时取得相关证书或文件。</w:t>
      </w:r>
    </w:p>
    <w:p>
      <w:pPr>
        <w:pStyle w:val="19"/>
        <w:numPr>
          <w:ilvl w:val="0"/>
          <w:numId w:val="3"/>
        </w:numPr>
        <w:adjustRightInd w:val="0"/>
        <w:snapToGrid w:val="0"/>
        <w:spacing w:before="0" w:after="0" w:line="360" w:lineRule="auto"/>
        <w:ind w:left="423" w:leftChars="200" w:hanging="3"/>
        <w:jc w:val="both"/>
        <w:rPr>
          <w:sz w:val="28"/>
          <w:szCs w:val="28"/>
        </w:rPr>
      </w:pPr>
      <w:r>
        <w:rPr>
          <w:rFonts w:hint="eastAsia"/>
          <w:sz w:val="28"/>
          <w:szCs w:val="28"/>
        </w:rPr>
        <w:t>本招标文件中货币币种均为人民币。</w:t>
      </w:r>
    </w:p>
    <w:p>
      <w:pPr>
        <w:pStyle w:val="19"/>
        <w:adjustRightInd w:val="0"/>
        <w:snapToGrid w:val="0"/>
        <w:spacing w:before="0" w:after="0" w:line="360" w:lineRule="auto"/>
        <w:ind w:left="423" w:leftChars="200" w:hanging="3"/>
        <w:jc w:val="both"/>
        <w:rPr>
          <w:sz w:val="28"/>
          <w:szCs w:val="28"/>
        </w:rPr>
      </w:pPr>
      <w:r>
        <w:rPr>
          <w:rFonts w:hint="eastAsia"/>
          <w:sz w:val="30"/>
          <w:szCs w:val="30"/>
        </w:rPr>
        <w:t>3、</w:t>
      </w:r>
      <w:r>
        <w:rPr>
          <w:rFonts w:hint="eastAsia"/>
          <w:sz w:val="28"/>
          <w:szCs w:val="28"/>
        </w:rPr>
        <w:t>本招标文件的澄清、修改、补充说明等内容均通过招标代理机构发放，请务必随时关注，以免影响投标文件编制，因投标人未及时关注相关信息对投标造成的不利后果由其自行承担。</w:t>
      </w:r>
    </w:p>
    <w:p>
      <w:pPr>
        <w:pStyle w:val="19"/>
        <w:adjustRightInd w:val="0"/>
        <w:snapToGrid w:val="0"/>
        <w:spacing w:before="0" w:after="0" w:line="360" w:lineRule="auto"/>
        <w:ind w:left="423" w:leftChars="200" w:hanging="3"/>
        <w:jc w:val="both"/>
        <w:rPr>
          <w:sz w:val="28"/>
          <w:szCs w:val="28"/>
        </w:rPr>
      </w:pPr>
      <w:r>
        <w:rPr>
          <w:rFonts w:hint="eastAsia"/>
          <w:sz w:val="28"/>
          <w:szCs w:val="28"/>
        </w:rPr>
        <w:t>4、本工程实行投标保证金制度和履约保证金制度，投标保证金为10万元；投标人中标后应缴纳履约保证金。</w:t>
      </w:r>
    </w:p>
    <w:p>
      <w:pPr>
        <w:pStyle w:val="19"/>
        <w:adjustRightInd w:val="0"/>
        <w:snapToGrid w:val="0"/>
        <w:spacing w:before="0" w:after="0" w:line="360" w:lineRule="auto"/>
        <w:ind w:left="423" w:leftChars="200" w:hanging="3"/>
        <w:jc w:val="both"/>
        <w:rPr>
          <w:sz w:val="28"/>
          <w:szCs w:val="28"/>
        </w:rPr>
      </w:pPr>
      <w:r>
        <w:rPr>
          <w:rFonts w:hint="eastAsia"/>
          <w:sz w:val="28"/>
          <w:szCs w:val="28"/>
        </w:rPr>
        <w:t xml:space="preserve">5、投标人提出疑问应当隐藏投标人所有信息，投标人提出问题截止时间为2020年  </w:t>
      </w:r>
      <w:r>
        <w:rPr>
          <w:rFonts w:hint="eastAsia"/>
          <w:sz w:val="28"/>
          <w:szCs w:val="28"/>
          <w:lang w:val="en-US" w:eastAsia="zh-CN"/>
        </w:rPr>
        <w:t>6</w:t>
      </w:r>
      <w:r>
        <w:rPr>
          <w:rFonts w:hint="eastAsia"/>
          <w:sz w:val="28"/>
          <w:szCs w:val="28"/>
        </w:rPr>
        <w:t xml:space="preserve">月  </w:t>
      </w:r>
      <w:r>
        <w:rPr>
          <w:rFonts w:hint="eastAsia"/>
          <w:sz w:val="28"/>
          <w:szCs w:val="28"/>
          <w:lang w:val="en-US" w:eastAsia="zh-CN"/>
        </w:rPr>
        <w:t>23</w:t>
      </w:r>
      <w:r>
        <w:rPr>
          <w:rFonts w:hint="eastAsia"/>
          <w:sz w:val="28"/>
          <w:szCs w:val="28"/>
        </w:rPr>
        <w:t xml:space="preserve"> 日17 时 00分，招标人统一答疑时间为 2020年  </w:t>
      </w:r>
      <w:r>
        <w:rPr>
          <w:rFonts w:hint="eastAsia"/>
          <w:sz w:val="28"/>
          <w:szCs w:val="28"/>
          <w:lang w:val="en-US" w:eastAsia="zh-CN"/>
        </w:rPr>
        <w:t>6</w:t>
      </w:r>
      <w:r>
        <w:rPr>
          <w:rFonts w:hint="eastAsia"/>
          <w:sz w:val="28"/>
          <w:szCs w:val="28"/>
        </w:rPr>
        <w:t xml:space="preserve">月 </w:t>
      </w:r>
      <w:r>
        <w:rPr>
          <w:rFonts w:hint="eastAsia"/>
          <w:sz w:val="28"/>
          <w:szCs w:val="28"/>
          <w:lang w:val="en-US" w:eastAsia="zh-CN"/>
        </w:rPr>
        <w:t>24</w:t>
      </w:r>
      <w:r>
        <w:rPr>
          <w:rFonts w:hint="eastAsia"/>
          <w:sz w:val="28"/>
          <w:szCs w:val="28"/>
        </w:rPr>
        <w:t xml:space="preserve">  日，开标时间与投标文件递交截止时间为同一时间即2020年 </w:t>
      </w:r>
      <w:r>
        <w:rPr>
          <w:rFonts w:hint="eastAsia"/>
          <w:sz w:val="28"/>
          <w:szCs w:val="28"/>
          <w:lang w:val="en-US" w:eastAsia="zh-CN"/>
        </w:rPr>
        <w:t>7</w:t>
      </w:r>
      <w:r>
        <w:rPr>
          <w:rFonts w:hint="eastAsia"/>
          <w:sz w:val="28"/>
          <w:szCs w:val="28"/>
        </w:rPr>
        <w:t xml:space="preserve"> 月 </w:t>
      </w:r>
      <w:r>
        <w:rPr>
          <w:rFonts w:hint="eastAsia"/>
          <w:sz w:val="28"/>
          <w:szCs w:val="28"/>
          <w:lang w:val="en-US" w:eastAsia="zh-CN"/>
        </w:rPr>
        <w:t>11</w:t>
      </w:r>
      <w:r>
        <w:rPr>
          <w:rFonts w:hint="eastAsia"/>
          <w:sz w:val="28"/>
          <w:szCs w:val="28"/>
        </w:rPr>
        <w:t xml:space="preserve">  日9时0分，逾期送达或者未送达至指定地点的投标文件不予受理。</w:t>
      </w:r>
    </w:p>
    <w:p>
      <w:pPr>
        <w:pStyle w:val="19"/>
        <w:adjustRightInd w:val="0"/>
        <w:snapToGrid w:val="0"/>
        <w:spacing w:before="0" w:after="0" w:line="360" w:lineRule="auto"/>
        <w:ind w:left="423" w:leftChars="200" w:hanging="3"/>
        <w:jc w:val="both"/>
        <w:rPr>
          <w:b/>
          <w:bCs/>
          <w:sz w:val="28"/>
          <w:szCs w:val="28"/>
        </w:rPr>
      </w:pPr>
      <w:r>
        <w:rPr>
          <w:rFonts w:hint="eastAsia"/>
          <w:b/>
          <w:bCs/>
          <w:sz w:val="28"/>
          <w:szCs w:val="28"/>
        </w:rPr>
        <w:t>二十一、招标文件的获取</w:t>
      </w:r>
    </w:p>
    <w:p>
      <w:pPr>
        <w:pStyle w:val="19"/>
        <w:adjustRightInd w:val="0"/>
        <w:snapToGrid w:val="0"/>
        <w:spacing w:before="0" w:after="0" w:line="360" w:lineRule="auto"/>
        <w:ind w:left="423" w:leftChars="200" w:hanging="3"/>
        <w:rPr>
          <w:sz w:val="28"/>
          <w:szCs w:val="28"/>
        </w:rPr>
      </w:pPr>
      <w:r>
        <w:rPr>
          <w:rFonts w:hint="eastAsia"/>
          <w:sz w:val="28"/>
          <w:szCs w:val="28"/>
        </w:rPr>
        <w:t>1、本项目接受符合条件的优秀企业报名，因未及时在招标代理机构办理报名手续的，责任自负。</w:t>
      </w:r>
    </w:p>
    <w:p>
      <w:pPr>
        <w:pStyle w:val="19"/>
        <w:adjustRightInd w:val="0"/>
        <w:snapToGrid w:val="0"/>
        <w:spacing w:before="0" w:after="0" w:line="360" w:lineRule="auto"/>
        <w:ind w:left="423" w:leftChars="200" w:hanging="3"/>
        <w:rPr>
          <w:sz w:val="28"/>
          <w:szCs w:val="28"/>
        </w:rPr>
      </w:pPr>
      <w:r>
        <w:rPr>
          <w:rFonts w:hint="eastAsia"/>
          <w:sz w:val="28"/>
          <w:szCs w:val="28"/>
        </w:rPr>
        <w:t xml:space="preserve">2、投标人可于2020年 </w:t>
      </w:r>
      <w:r>
        <w:rPr>
          <w:rFonts w:hint="eastAsia"/>
          <w:sz w:val="28"/>
          <w:szCs w:val="28"/>
          <w:lang w:val="en-US" w:eastAsia="zh-CN"/>
        </w:rPr>
        <w:t>6</w:t>
      </w:r>
      <w:r>
        <w:rPr>
          <w:rFonts w:hint="eastAsia"/>
          <w:sz w:val="28"/>
          <w:szCs w:val="28"/>
        </w:rPr>
        <w:t xml:space="preserve"> 月 </w:t>
      </w:r>
      <w:r>
        <w:rPr>
          <w:rFonts w:hint="eastAsia"/>
          <w:sz w:val="28"/>
          <w:szCs w:val="28"/>
          <w:lang w:val="en-US" w:eastAsia="zh-CN"/>
        </w:rPr>
        <w:t>15</w:t>
      </w:r>
      <w:r>
        <w:rPr>
          <w:rFonts w:hint="eastAsia"/>
          <w:sz w:val="28"/>
          <w:szCs w:val="28"/>
        </w:rPr>
        <w:t xml:space="preserve"> 日至2020年 </w:t>
      </w:r>
      <w:r>
        <w:rPr>
          <w:rFonts w:hint="eastAsia"/>
          <w:sz w:val="28"/>
          <w:szCs w:val="28"/>
          <w:lang w:val="en-US" w:eastAsia="zh-CN"/>
        </w:rPr>
        <w:t>7</w:t>
      </w:r>
      <w:r>
        <w:rPr>
          <w:rFonts w:hint="eastAsia"/>
          <w:sz w:val="28"/>
          <w:szCs w:val="28"/>
        </w:rPr>
        <w:t xml:space="preserve"> 月  </w:t>
      </w:r>
      <w:r>
        <w:rPr>
          <w:rFonts w:hint="eastAsia"/>
          <w:sz w:val="28"/>
          <w:szCs w:val="28"/>
          <w:lang w:val="en-US" w:eastAsia="zh-CN"/>
        </w:rPr>
        <w:t>10</w:t>
      </w:r>
      <w:r>
        <w:rPr>
          <w:rFonts w:hint="eastAsia"/>
          <w:sz w:val="28"/>
          <w:szCs w:val="28"/>
        </w:rPr>
        <w:t xml:space="preserve"> 日工作日上班时间内在代理单位领取招标文件。</w:t>
      </w:r>
    </w:p>
    <w:p>
      <w:pPr>
        <w:pStyle w:val="19"/>
        <w:adjustRightInd w:val="0"/>
        <w:snapToGrid w:val="0"/>
        <w:spacing w:before="0" w:after="0" w:line="360" w:lineRule="auto"/>
        <w:ind w:left="423" w:leftChars="200" w:hanging="3"/>
        <w:rPr>
          <w:sz w:val="28"/>
          <w:szCs w:val="28"/>
        </w:rPr>
      </w:pPr>
      <w:r>
        <w:rPr>
          <w:rFonts w:hint="eastAsia"/>
          <w:sz w:val="28"/>
          <w:szCs w:val="28"/>
        </w:rPr>
        <w:t>3、招标文件及相关资料工本费：人民币 500 元/套，售后不退。投标人报名时须及时支付，否则视为报名不成功。</w:t>
      </w:r>
    </w:p>
    <w:p>
      <w:pPr>
        <w:pStyle w:val="19"/>
        <w:adjustRightInd w:val="0"/>
        <w:snapToGrid w:val="0"/>
        <w:spacing w:before="0" w:after="0" w:line="360" w:lineRule="auto"/>
        <w:ind w:left="423" w:leftChars="200" w:hanging="3"/>
        <w:rPr>
          <w:b/>
          <w:bCs/>
          <w:sz w:val="28"/>
          <w:szCs w:val="28"/>
        </w:rPr>
      </w:pPr>
      <w:r>
        <w:rPr>
          <w:rFonts w:hint="eastAsia"/>
          <w:b/>
          <w:bCs/>
          <w:sz w:val="28"/>
          <w:szCs w:val="28"/>
        </w:rPr>
        <w:t>二十二、联系方式</w:t>
      </w:r>
    </w:p>
    <w:p>
      <w:pPr>
        <w:pStyle w:val="19"/>
        <w:adjustRightInd w:val="0"/>
        <w:snapToGrid w:val="0"/>
        <w:spacing w:before="0" w:after="0" w:line="360" w:lineRule="auto"/>
        <w:ind w:left="423" w:leftChars="200" w:hanging="3"/>
        <w:rPr>
          <w:sz w:val="28"/>
          <w:szCs w:val="28"/>
        </w:rPr>
      </w:pPr>
      <w:r>
        <w:rPr>
          <w:rFonts w:hint="eastAsia"/>
          <w:sz w:val="28"/>
          <w:szCs w:val="28"/>
        </w:rPr>
        <w:t>招标人：六安世立医院有限公司</w:t>
      </w:r>
    </w:p>
    <w:p>
      <w:pPr>
        <w:pStyle w:val="19"/>
        <w:adjustRightInd w:val="0"/>
        <w:snapToGrid w:val="0"/>
        <w:spacing w:before="0" w:after="0" w:line="360" w:lineRule="auto"/>
        <w:ind w:left="423" w:leftChars="200" w:hanging="3"/>
        <w:rPr>
          <w:sz w:val="28"/>
          <w:szCs w:val="28"/>
        </w:rPr>
      </w:pPr>
      <w:r>
        <w:rPr>
          <w:rFonts w:hint="eastAsia"/>
          <w:sz w:val="28"/>
          <w:szCs w:val="28"/>
        </w:rPr>
        <w:t xml:space="preserve">联系人：徐先生  </w:t>
      </w:r>
    </w:p>
    <w:p>
      <w:pPr>
        <w:pStyle w:val="19"/>
        <w:adjustRightInd w:val="0"/>
        <w:snapToGrid w:val="0"/>
        <w:spacing w:before="0" w:after="0" w:line="360" w:lineRule="auto"/>
        <w:ind w:left="423" w:leftChars="200" w:hanging="3"/>
        <w:rPr>
          <w:sz w:val="28"/>
          <w:szCs w:val="28"/>
        </w:rPr>
      </w:pPr>
      <w:r>
        <w:rPr>
          <w:rFonts w:hint="eastAsia"/>
          <w:sz w:val="28"/>
          <w:szCs w:val="28"/>
        </w:rPr>
        <w:t>联系方式：15155405688</w:t>
      </w:r>
    </w:p>
    <w:p>
      <w:pPr>
        <w:pStyle w:val="19"/>
        <w:adjustRightInd w:val="0"/>
        <w:snapToGrid w:val="0"/>
        <w:spacing w:before="0" w:after="0" w:line="360" w:lineRule="auto"/>
        <w:ind w:left="423" w:leftChars="200" w:hanging="3"/>
        <w:rPr>
          <w:sz w:val="28"/>
          <w:szCs w:val="28"/>
        </w:rPr>
      </w:pPr>
      <w:r>
        <w:rPr>
          <w:rFonts w:hint="eastAsia"/>
          <w:sz w:val="28"/>
          <w:szCs w:val="28"/>
        </w:rPr>
        <w:t>招标代理机构：中经国际招标集团有限公司</w:t>
      </w:r>
    </w:p>
    <w:p>
      <w:pPr>
        <w:pStyle w:val="19"/>
        <w:adjustRightInd w:val="0"/>
        <w:snapToGrid w:val="0"/>
        <w:spacing w:before="0" w:after="0" w:line="360" w:lineRule="auto"/>
        <w:ind w:left="423" w:leftChars="200" w:hanging="3"/>
        <w:rPr>
          <w:sz w:val="28"/>
          <w:szCs w:val="28"/>
        </w:rPr>
      </w:pPr>
      <w:r>
        <w:rPr>
          <w:rFonts w:hint="eastAsia"/>
          <w:sz w:val="28"/>
          <w:szCs w:val="28"/>
        </w:rPr>
        <w:t xml:space="preserve">联系人：汪工    </w:t>
      </w:r>
    </w:p>
    <w:p>
      <w:pPr>
        <w:pStyle w:val="19"/>
        <w:adjustRightInd w:val="0"/>
        <w:snapToGrid w:val="0"/>
        <w:spacing w:before="0" w:after="0" w:line="360" w:lineRule="auto"/>
        <w:ind w:left="423" w:leftChars="200" w:hanging="3"/>
        <w:rPr>
          <w:sz w:val="22"/>
          <w:szCs w:val="22"/>
        </w:rPr>
      </w:pPr>
      <w:r>
        <w:rPr>
          <w:rFonts w:hint="eastAsia"/>
          <w:sz w:val="28"/>
          <w:szCs w:val="28"/>
        </w:rPr>
        <w:t>联系方式：18075032405</w:t>
      </w:r>
    </w:p>
    <w:p>
      <w:pPr>
        <w:adjustRightInd w:val="0"/>
        <w:snapToGrid w:val="0"/>
        <w:spacing w:beforeLines="20" w:afterLines="20" w:line="360" w:lineRule="auto"/>
        <w:ind w:left="423" w:leftChars="200" w:hanging="3"/>
        <w:jc w:val="center"/>
        <w:rPr>
          <w:rFonts w:ascii="宋体" w:hAnsi="宋体" w:cs="宋体"/>
          <w:sz w:val="24"/>
        </w:rPr>
      </w:pPr>
    </w:p>
    <w:p>
      <w:pPr>
        <w:adjustRightInd w:val="0"/>
        <w:snapToGrid w:val="0"/>
        <w:ind w:left="423" w:leftChars="200" w:hanging="3"/>
        <w:rPr>
          <w:rFonts w:ascii="宋体" w:hAnsi="宋体" w:cs="宋体"/>
          <w:sz w:val="24"/>
        </w:rPr>
      </w:pPr>
    </w:p>
    <w:p>
      <w:pPr>
        <w:pStyle w:val="2"/>
        <w:numPr>
          <w:ilvl w:val="0"/>
          <w:numId w:val="0"/>
        </w:numPr>
        <w:adjustRightInd w:val="0"/>
        <w:snapToGrid w:val="0"/>
        <w:ind w:left="423" w:leftChars="200" w:hanging="3"/>
        <w:rPr>
          <w:rFonts w:ascii="宋体" w:hAnsi="宋体" w:eastAsia="宋体" w:cs="宋体"/>
          <w:sz w:val="40"/>
          <w:szCs w:val="40"/>
        </w:rPr>
      </w:pPr>
      <w:r>
        <w:rPr>
          <w:rFonts w:hint="eastAsia" w:ascii="宋体" w:hAnsi="宋体" w:eastAsia="宋体" w:cs="宋体"/>
          <w:sz w:val="24"/>
        </w:rPr>
        <w:br w:type="page"/>
      </w:r>
      <w:bookmarkStart w:id="2" w:name="_Toc26086"/>
      <w:bookmarkStart w:id="3" w:name="_Toc2456"/>
      <w:r>
        <w:rPr>
          <w:rFonts w:hint="eastAsia" w:ascii="宋体" w:hAnsi="宋体" w:eastAsia="宋体" w:cs="宋体"/>
          <w:sz w:val="40"/>
          <w:szCs w:val="40"/>
        </w:rPr>
        <w:t>第二章 投标人须知</w:t>
      </w:r>
      <w:bookmarkEnd w:id="2"/>
      <w:bookmarkEnd w:id="3"/>
    </w:p>
    <w:p>
      <w:pPr>
        <w:pStyle w:val="3"/>
        <w:adjustRightInd w:val="0"/>
        <w:snapToGrid w:val="0"/>
        <w:ind w:left="420" w:leftChars="200"/>
        <w:jc w:val="left"/>
        <w:rPr>
          <w:rFonts w:ascii="宋体" w:hAnsi="宋体" w:eastAsia="宋体" w:cs="宋体"/>
        </w:rPr>
      </w:pPr>
      <w:bookmarkStart w:id="4" w:name="_Toc12617"/>
      <w:bookmarkStart w:id="5" w:name="_Toc7821"/>
      <w:r>
        <w:rPr>
          <w:rFonts w:hint="eastAsia" w:ascii="宋体" w:hAnsi="宋体" w:eastAsia="宋体" w:cs="宋体"/>
        </w:rPr>
        <w:t>（一）、前附表</w:t>
      </w:r>
      <w:bookmarkEnd w:id="4"/>
      <w:bookmarkEnd w:id="5"/>
    </w:p>
    <w:tbl>
      <w:tblPr>
        <w:tblStyle w:val="23"/>
        <w:tblW w:w="9962"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0"/>
        <w:gridCol w:w="2225"/>
        <w:gridCol w:w="7037"/>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5"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ind w:right="-358"/>
              <w:jc w:val="left"/>
              <w:rPr>
                <w:rFonts w:ascii="宋体" w:hAnsi="宋体" w:cs="宋体"/>
                <w:b/>
                <w:bCs/>
                <w:color w:val="000000" w:themeColor="text1"/>
                <w:sz w:val="24"/>
              </w:rPr>
            </w:pPr>
            <w:bookmarkStart w:id="6" w:name="_Toc463678574"/>
            <w:bookmarkStart w:id="7" w:name="_Toc468208425"/>
            <w:bookmarkStart w:id="8" w:name="_Toc438193087"/>
            <w:r>
              <w:rPr>
                <w:rFonts w:hint="eastAsia" w:ascii="宋体" w:hAnsi="宋体" w:cs="宋体"/>
                <w:b/>
                <w:bCs/>
                <w:color w:val="000000" w:themeColor="text1"/>
                <w:sz w:val="24"/>
              </w:rPr>
              <w:t>序号</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center"/>
              <w:rPr>
                <w:rFonts w:ascii="宋体" w:hAnsi="宋体" w:cs="宋体"/>
                <w:b/>
                <w:bCs/>
                <w:color w:val="000000" w:themeColor="text1"/>
                <w:sz w:val="24"/>
              </w:rPr>
            </w:pPr>
            <w:r>
              <w:rPr>
                <w:rFonts w:hint="eastAsia" w:ascii="宋体" w:hAnsi="宋体" w:cs="宋体"/>
                <w:b/>
                <w:bCs/>
                <w:color w:val="000000" w:themeColor="text1"/>
                <w:sz w:val="24"/>
              </w:rPr>
              <w:t>序列名称</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tabs>
                <w:tab w:val="left" w:pos="1180"/>
              </w:tabs>
              <w:adjustRightInd w:val="0"/>
              <w:snapToGrid w:val="0"/>
              <w:spacing w:beforeLines="20" w:afterLines="20" w:line="360" w:lineRule="auto"/>
              <w:jc w:val="center"/>
              <w:rPr>
                <w:rFonts w:ascii="宋体" w:hAnsi="宋体" w:cs="宋体"/>
                <w:b/>
                <w:bCs/>
                <w:color w:val="000000" w:themeColor="text1"/>
                <w:sz w:val="24"/>
              </w:rPr>
            </w:pPr>
            <w:r>
              <w:rPr>
                <w:rFonts w:hint="eastAsia" w:ascii="宋体" w:hAnsi="宋体" w:cs="宋体"/>
                <w:b/>
                <w:bCs/>
                <w:color w:val="000000" w:themeColor="text1"/>
                <w:sz w:val="24"/>
              </w:rPr>
              <w:t>序列内容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57"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1</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项目名称</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276" w:lineRule="auto"/>
              <w:jc w:val="left"/>
              <w:rPr>
                <w:rFonts w:ascii="宋体" w:hAnsi="宋体" w:cs="宋体"/>
                <w:sz w:val="24"/>
              </w:rPr>
            </w:pPr>
            <w:r>
              <w:rPr>
                <w:rFonts w:hint="eastAsia" w:ascii="宋体" w:hAnsi="宋体" w:cs="宋体"/>
                <w:sz w:val="24"/>
                <w:lang w:eastAsia="zh-CN"/>
              </w:rPr>
              <w:t>六安世立医院</w:t>
            </w:r>
            <w:r>
              <w:rPr>
                <w:rFonts w:hint="eastAsia" w:ascii="宋体" w:hAnsi="宋体" w:cs="宋体"/>
                <w:sz w:val="24"/>
              </w:rPr>
              <w:t>消防改造工程（外科楼、门诊楼）</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00"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2</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项目地点</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276" w:lineRule="auto"/>
              <w:jc w:val="left"/>
              <w:rPr>
                <w:rFonts w:ascii="宋体" w:hAnsi="宋体" w:cs="宋体"/>
                <w:sz w:val="24"/>
              </w:rPr>
            </w:pPr>
            <w:r>
              <w:rPr>
                <w:rFonts w:hint="eastAsia" w:ascii="宋体" w:hAnsi="宋体" w:cs="宋体"/>
                <w:sz w:val="24"/>
                <w:lang w:eastAsia="zh-CN"/>
              </w:rPr>
              <w:t>六安世立医院</w:t>
            </w:r>
            <w:r>
              <w:rPr>
                <w:rFonts w:hint="eastAsia" w:ascii="宋体" w:hAnsi="宋体" w:cs="宋体"/>
                <w:sz w:val="24"/>
              </w:rPr>
              <w:t>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9"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3</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招 标 人</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276" w:lineRule="auto"/>
              <w:jc w:val="left"/>
              <w:rPr>
                <w:rFonts w:ascii="宋体" w:hAnsi="宋体" w:cs="宋体"/>
                <w:sz w:val="24"/>
              </w:rPr>
            </w:pPr>
            <w:r>
              <w:rPr>
                <w:rFonts w:hint="eastAsia" w:ascii="宋体" w:hAnsi="宋体" w:cs="宋体"/>
                <w:sz w:val="24"/>
              </w:rPr>
              <w:t>六安世立医院有限公司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4</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工程设计单位</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pStyle w:val="37"/>
              <w:snapToGrid w:val="0"/>
              <w:spacing w:before="0" w:after="0" w:line="360" w:lineRule="auto"/>
              <w:ind w:left="0"/>
              <w:rPr>
                <w:rFonts w:ascii="宋体" w:hAnsi="宋体" w:cs="宋体"/>
                <w:b/>
                <w:color w:val="FF0000"/>
                <w:kern w:val="2"/>
                <w:szCs w:val="24"/>
              </w:rPr>
            </w:pPr>
            <w:r>
              <w:rPr>
                <w:rFonts w:hint="eastAsia" w:ascii="宋体" w:hAnsi="宋体" w:eastAsia="宋体" w:cs="宋体"/>
                <w:kern w:val="2"/>
                <w:sz w:val="24"/>
                <w:szCs w:val="24"/>
                <w:lang w:val="en-US" w:eastAsia="zh-CN" w:bidi="ar-SA"/>
              </w:rPr>
              <w:t>安徽省电子工业设计院有限公司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30"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5</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建设规模</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widowControl/>
              <w:adjustRightInd w:val="0"/>
              <w:snapToGrid w:val="0"/>
              <w:spacing w:line="360" w:lineRule="auto"/>
              <w:jc w:val="left"/>
              <w:rPr>
                <w:rFonts w:ascii="宋体" w:hAnsi="宋体" w:cs="宋体"/>
                <w:sz w:val="24"/>
              </w:rPr>
            </w:pPr>
            <w:r>
              <w:rPr>
                <w:rFonts w:hint="eastAsia" w:ascii="宋体" w:hAnsi="宋体" w:cs="宋体"/>
                <w:b/>
                <w:bCs/>
                <w:color w:val="FF0000"/>
                <w:sz w:val="24"/>
              </w:rPr>
              <w:t>本项目最高限价人民币</w:t>
            </w:r>
            <w:r>
              <w:rPr>
                <w:rFonts w:hint="eastAsia" w:ascii="宋体" w:hAnsi="宋体" w:cs="宋体"/>
                <w:b/>
                <w:bCs/>
                <w:color w:val="FF0000"/>
                <w:sz w:val="24"/>
                <w:lang w:eastAsia="zh-CN"/>
              </w:rPr>
              <w:t>780万</w:t>
            </w:r>
            <w:r>
              <w:rPr>
                <w:rFonts w:hint="eastAsia" w:ascii="宋体" w:hAnsi="宋体" w:cs="宋体"/>
                <w:b/>
                <w:bCs/>
                <w:color w:val="FF0000"/>
                <w:sz w:val="24"/>
              </w:rPr>
              <w:t>元</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6</w:t>
            </w:r>
          </w:p>
        </w:tc>
        <w:tc>
          <w:tcPr>
            <w:tcW w:w="2225"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工程概况简要说明</w:t>
            </w:r>
          </w:p>
        </w:tc>
        <w:tc>
          <w:tcPr>
            <w:tcW w:w="7037" w:type="dxa"/>
            <w:tcBorders>
              <w:top w:val="single" w:color="auto" w:sz="4" w:space="0"/>
              <w:left w:val="single" w:color="auto" w:sz="4" w:space="0"/>
              <w:bottom w:val="single" w:color="auto" w:sz="4" w:space="0"/>
            </w:tcBorders>
            <w:tcMar>
              <w:top w:w="0" w:type="dxa"/>
              <w:bottom w:w="0" w:type="dxa"/>
            </w:tcMar>
            <w:vAlign w:val="center"/>
          </w:tcPr>
          <w:p>
            <w:pPr>
              <w:shd w:val="clear" w:color="auto" w:fill="FFFFFF"/>
              <w:adjustRightInd w:val="0"/>
              <w:snapToGrid w:val="0"/>
              <w:spacing w:line="360" w:lineRule="auto"/>
              <w:jc w:val="left"/>
              <w:rPr>
                <w:rFonts w:ascii="宋体" w:hAnsi="宋体" w:cs="宋体"/>
              </w:rPr>
            </w:pPr>
            <w:r>
              <w:rPr>
                <w:rFonts w:hint="eastAsia" w:ascii="宋体" w:hAnsi="宋体" w:cs="宋体"/>
                <w:sz w:val="24"/>
              </w:rPr>
              <w:t>本工程主要建设内容为图纸设计范围内的消防、通风工程，包括通风管道安装、排烟风机、送风机、应急照明灯具、喷淋系统、消火栓系统、喷淋泵、消火栓泵安装、室外闸阀井砌筑、配电箱安装、管道土方开挖及回填及原天棚吊顶影响消防施工的对其进行拆除。具体详见工程量清单，具体详见工程量清单。项目投资约</w:t>
            </w:r>
            <w:r>
              <w:rPr>
                <w:rFonts w:hint="eastAsia" w:ascii="宋体" w:hAnsi="宋体" w:cs="宋体"/>
                <w:sz w:val="24"/>
                <w:lang w:eastAsia="zh-CN"/>
              </w:rPr>
              <w:t>780万</w:t>
            </w:r>
            <w:r>
              <w:rPr>
                <w:rFonts w:hint="eastAsia" w:ascii="宋体" w:hAnsi="宋体" w:cs="宋体"/>
                <w:sz w:val="24"/>
              </w:rPr>
              <w:t>元。</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48"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7</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招标范围</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bdr w:val="single" w:color="auto" w:sz="4" w:space="0"/>
              </w:rPr>
              <w:t>√</w:t>
            </w:r>
            <w:r>
              <w:rPr>
                <w:rFonts w:hint="eastAsia" w:ascii="宋体" w:hAnsi="宋体" w:cs="宋体"/>
                <w:sz w:val="24"/>
              </w:rPr>
              <w:t>招标公告及工程量清单范围      其他说明：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06"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8</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标段划分</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单标段</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22"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9</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资金来源</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企业自筹</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10</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工程工期</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pStyle w:val="38"/>
              <w:adjustRightInd w:val="0"/>
              <w:snapToGrid w:val="0"/>
              <w:spacing w:before="0" w:beforeAutospacing="0" w:after="0" w:afterAutospacing="0" w:line="360" w:lineRule="auto"/>
              <w:rPr>
                <w:rFonts w:cs="宋体"/>
                <w:kern w:val="2"/>
              </w:rPr>
            </w:pPr>
            <w:r>
              <w:rPr>
                <w:rFonts w:hint="eastAsia" w:cs="宋体"/>
                <w:kern w:val="2"/>
                <w:lang w:val="en-US" w:eastAsia="zh-CN"/>
              </w:rPr>
              <w:t>90</w:t>
            </w:r>
            <w:r>
              <w:rPr>
                <w:rFonts w:hint="eastAsia" w:cs="宋体"/>
                <w:kern w:val="2"/>
              </w:rPr>
              <w:t>日历天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11</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质量标准要求</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pStyle w:val="38"/>
              <w:tabs>
                <w:tab w:val="left" w:pos="1152"/>
              </w:tabs>
              <w:adjustRightInd w:val="0"/>
              <w:snapToGrid w:val="0"/>
              <w:spacing w:before="0" w:beforeAutospacing="0" w:after="0" w:afterAutospacing="0" w:line="360" w:lineRule="auto"/>
              <w:rPr>
                <w:rFonts w:cs="宋体"/>
                <w:kern w:val="2"/>
              </w:rPr>
            </w:pPr>
            <w:r>
              <w:rPr>
                <w:rFonts w:hint="eastAsia" w:cs="宋体"/>
                <w:kern w:val="2"/>
              </w:rPr>
              <w:t>“合格”备案（即包验收）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pStyle w:val="38"/>
              <w:adjustRightInd w:val="0"/>
              <w:snapToGrid w:val="0"/>
              <w:spacing w:line="360" w:lineRule="auto"/>
              <w:rPr>
                <w:rFonts w:cs="宋体"/>
              </w:rPr>
            </w:pPr>
            <w:r>
              <w:rPr>
                <w:rFonts w:hint="eastAsia" w:cs="宋体"/>
              </w:rPr>
              <w:t>12</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pStyle w:val="38"/>
              <w:widowControl w:val="0"/>
              <w:adjustRightInd w:val="0"/>
              <w:snapToGrid w:val="0"/>
              <w:spacing w:before="0" w:beforeAutospacing="0" w:after="0" w:afterAutospacing="0" w:line="360" w:lineRule="auto"/>
              <w:rPr>
                <w:rStyle w:val="21"/>
                <w:rFonts w:cs="宋体"/>
                <w:b w:val="0"/>
              </w:rPr>
            </w:pPr>
            <w:r>
              <w:rPr>
                <w:rStyle w:val="21"/>
                <w:rFonts w:hint="eastAsia" w:cs="宋体"/>
                <w:b w:val="0"/>
              </w:rPr>
              <w:t>评标办法</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Style w:val="21"/>
                <w:rFonts w:hint="eastAsia" w:ascii="宋体" w:hAnsi="宋体" w:cs="宋体"/>
                <w:color w:val="FF0000"/>
                <w:kern w:val="0"/>
                <w:sz w:val="24"/>
              </w:rPr>
              <w:t>二阶段评标法（综合评分+二轮商务谈判），具体详见第二章《评标办法》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49"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pStyle w:val="38"/>
              <w:adjustRightInd w:val="0"/>
              <w:snapToGrid w:val="0"/>
              <w:spacing w:line="360" w:lineRule="auto"/>
              <w:rPr>
                <w:rFonts w:cs="宋体"/>
              </w:rPr>
            </w:pPr>
            <w:r>
              <w:rPr>
                <w:rFonts w:hint="eastAsia" w:cs="宋体"/>
              </w:rPr>
              <w:t>13</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pStyle w:val="38"/>
              <w:widowControl w:val="0"/>
              <w:adjustRightInd w:val="0"/>
              <w:snapToGrid w:val="0"/>
              <w:spacing w:before="0" w:beforeAutospacing="0" w:after="0" w:afterAutospacing="0" w:line="360" w:lineRule="auto"/>
              <w:rPr>
                <w:rStyle w:val="21"/>
                <w:rFonts w:cs="宋体"/>
                <w:b w:val="0"/>
              </w:rPr>
            </w:pPr>
            <w:r>
              <w:rPr>
                <w:rStyle w:val="21"/>
                <w:rFonts w:hint="eastAsia" w:cs="宋体"/>
                <w:b w:val="0"/>
              </w:rPr>
              <w:t>资格审查方式</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Style w:val="21"/>
                <w:rFonts w:ascii="宋体" w:hAnsi="宋体" w:cs="宋体"/>
                <w:b w:val="0"/>
                <w:sz w:val="24"/>
              </w:rPr>
            </w:pPr>
            <w:r>
              <w:rPr>
                <w:rFonts w:hint="eastAsia" w:ascii="宋体" w:hAnsi="宋体" w:cs="宋体"/>
                <w:sz w:val="24"/>
              </w:rPr>
              <w:t>□</w:t>
            </w:r>
            <w:r>
              <w:rPr>
                <w:rStyle w:val="21"/>
                <w:rFonts w:hint="eastAsia" w:ascii="宋体" w:hAnsi="宋体" w:cs="宋体"/>
                <w:b w:val="0"/>
                <w:sz w:val="24"/>
              </w:rPr>
              <w:t xml:space="preserve">资格预审                      </w:t>
            </w:r>
            <w:r>
              <w:rPr>
                <w:rFonts w:hint="eastAsia" w:ascii="宋体" w:hAnsi="宋体" w:cs="宋体"/>
                <w:sz w:val="24"/>
              </w:rPr>
              <w:fldChar w:fldCharType="begin"/>
            </w:r>
            <w:r>
              <w:rPr>
                <w:rFonts w:hint="eastAsia" w:ascii="宋体" w:hAnsi="宋体" w:cs="宋体"/>
                <w:sz w:val="24"/>
              </w:rPr>
              <w:instrText xml:space="preserve"> eq \o\ac(</w:instrText>
            </w:r>
            <w:r>
              <w:rPr>
                <w:rFonts w:hint="eastAsia" w:ascii="宋体" w:hAnsi="宋体" w:cs="宋体"/>
                <w:position w:val="-4"/>
                <w:sz w:val="36"/>
              </w:rPr>
              <w:instrText xml:space="preserve">□</w:instrText>
            </w:r>
            <w:r>
              <w:rPr>
                <w:rFonts w:hint="eastAsia" w:ascii="宋体" w:hAnsi="宋体" w:cs="宋体"/>
                <w:sz w:val="24"/>
              </w:rPr>
              <w:instrText xml:space="preserve">,√)</w:instrText>
            </w:r>
            <w:r>
              <w:rPr>
                <w:rFonts w:hint="eastAsia" w:ascii="宋体" w:hAnsi="宋体" w:cs="宋体"/>
                <w:sz w:val="24"/>
              </w:rPr>
              <w:fldChar w:fldCharType="end"/>
            </w:r>
            <w:r>
              <w:rPr>
                <w:rFonts w:hint="eastAsia" w:ascii="宋体" w:hAnsi="宋体" w:cs="宋体"/>
                <w:sz w:val="24"/>
              </w:rPr>
              <w:t>资格后审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pStyle w:val="38"/>
              <w:adjustRightInd w:val="0"/>
              <w:snapToGrid w:val="0"/>
              <w:spacing w:line="360" w:lineRule="auto"/>
              <w:rPr>
                <w:rFonts w:cs="宋体"/>
              </w:rPr>
            </w:pPr>
            <w:r>
              <w:rPr>
                <w:rFonts w:hint="eastAsia" w:cs="宋体"/>
              </w:rPr>
              <w:t>14</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招标资质</w:t>
            </w:r>
          </w:p>
          <w:p>
            <w:pPr>
              <w:adjustRightInd w:val="0"/>
              <w:snapToGrid w:val="0"/>
              <w:spacing w:line="360" w:lineRule="auto"/>
              <w:jc w:val="left"/>
              <w:rPr>
                <w:rFonts w:ascii="宋体" w:hAnsi="宋体" w:cs="宋体"/>
                <w:sz w:val="24"/>
              </w:rPr>
            </w:pPr>
            <w:r>
              <w:rPr>
                <w:rFonts w:hint="eastAsia" w:ascii="宋体" w:hAnsi="宋体" w:cs="宋体"/>
                <w:sz w:val="24"/>
              </w:rPr>
              <w:t>资格要求</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1、企业资质要求：独立法人资格,具备消防设施工程专业承包壹级及以上资质,具备有效的安全生产许可证；</w:t>
            </w:r>
          </w:p>
          <w:p>
            <w:pPr>
              <w:adjustRightInd w:val="0"/>
              <w:snapToGrid w:val="0"/>
              <w:spacing w:beforeLines="20" w:afterLines="20" w:line="360" w:lineRule="auto"/>
              <w:jc w:val="left"/>
              <w:rPr>
                <w:rFonts w:ascii="宋体" w:hAnsi="宋体" w:cs="宋体"/>
                <w:sz w:val="24"/>
              </w:rPr>
            </w:pPr>
            <w:r>
              <w:rPr>
                <w:rFonts w:hint="eastAsia" w:ascii="宋体" w:hAnsi="宋体" w:cs="宋体"/>
                <w:sz w:val="24"/>
              </w:rPr>
              <w:t>2、项目经理资质要求：须具备机电工程专业贰级及以上注册建造师执业资格，并具备有效的安全生产考核合格 B 证，未担任其他在建或已中标工程项目的项目经理；</w:t>
            </w:r>
          </w:p>
          <w:p>
            <w:pPr>
              <w:adjustRightInd w:val="0"/>
              <w:snapToGrid w:val="0"/>
              <w:spacing w:beforeLines="20" w:afterLines="20" w:line="360" w:lineRule="auto"/>
              <w:jc w:val="left"/>
              <w:rPr>
                <w:rFonts w:ascii="宋体" w:hAnsi="宋体" w:cs="宋体"/>
                <w:sz w:val="24"/>
              </w:rPr>
            </w:pPr>
            <w:r>
              <w:rPr>
                <w:rFonts w:hint="eastAsia" w:ascii="宋体" w:hAnsi="宋体" w:cs="宋体"/>
                <w:sz w:val="24"/>
              </w:rPr>
              <w:t>3、本项目不接受联合体投标；</w:t>
            </w:r>
          </w:p>
          <w:p>
            <w:pPr>
              <w:adjustRightInd w:val="0"/>
              <w:snapToGrid w:val="0"/>
              <w:spacing w:beforeLines="20" w:afterLines="20" w:line="360" w:lineRule="auto"/>
              <w:jc w:val="left"/>
              <w:rPr>
                <w:rFonts w:ascii="宋体" w:hAnsi="宋体" w:cs="宋体"/>
                <w:sz w:val="24"/>
              </w:rPr>
            </w:pPr>
            <w:r>
              <w:rPr>
                <w:rFonts w:hint="eastAsia" w:ascii="宋体" w:hAnsi="宋体" w:cs="宋体"/>
                <w:sz w:val="24"/>
              </w:rPr>
              <w:t>4、企业不得出借本企业的资质、证照以及本企业工作人员的资质、证照供他人投标。对出借资质、证照等的，无论何时发现，属于投标未中标的，其投标保证金不予退还，是否给予违规投标人投标资格限制及投标资格限制期限应当按照《中华人民共和国招标投标法》及《中华人民共和国招标投标法实施条例》相关规定进行处理；属于已中标的，取消其中标资格或终止合同，其投标保证金、履约保证金不予退还，是否给予违规中标人投标资格限制及投标资格限制期限应当按照《中华人民共和国招标投标法》及《中华人民共和国招标投标法实施条例》相关规定进行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11"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pStyle w:val="38"/>
              <w:widowControl w:val="0"/>
              <w:adjustRightInd w:val="0"/>
              <w:snapToGrid w:val="0"/>
              <w:spacing w:before="0" w:beforeAutospacing="0" w:after="0" w:afterAutospacing="0" w:line="360" w:lineRule="auto"/>
              <w:rPr>
                <w:rStyle w:val="21"/>
                <w:rFonts w:cs="宋体"/>
                <w:b w:val="0"/>
              </w:rPr>
            </w:pPr>
            <w:r>
              <w:rPr>
                <w:rStyle w:val="21"/>
                <w:rFonts w:hint="eastAsia" w:cs="宋体"/>
                <w:b w:val="0"/>
              </w:rPr>
              <w:t>15</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项目班子配备</w:t>
            </w:r>
          </w:p>
          <w:p>
            <w:pPr>
              <w:adjustRightInd w:val="0"/>
              <w:snapToGrid w:val="0"/>
              <w:spacing w:line="360" w:lineRule="auto"/>
              <w:jc w:val="left"/>
              <w:rPr>
                <w:rFonts w:ascii="宋体" w:hAnsi="宋体" w:cs="宋体"/>
                <w:sz w:val="24"/>
              </w:rPr>
            </w:pP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1、项目经理：拟任项目经理必须与资格审查合格通过的项目经理在名称、专业、资质等级等方面一致。</w:t>
            </w:r>
          </w:p>
          <w:p>
            <w:pPr>
              <w:adjustRightInd w:val="0"/>
              <w:snapToGrid w:val="0"/>
              <w:spacing w:line="360" w:lineRule="auto"/>
              <w:jc w:val="left"/>
              <w:rPr>
                <w:rFonts w:ascii="宋体" w:hAnsi="宋体" w:cs="宋体"/>
                <w:sz w:val="24"/>
              </w:rPr>
            </w:pPr>
            <w:r>
              <w:rPr>
                <w:rFonts w:hint="eastAsia" w:ascii="宋体" w:hAnsi="宋体" w:cs="宋体"/>
                <w:sz w:val="24"/>
              </w:rPr>
              <w:t>2、项目技术负责人应具有与本工程项目相适应专业的助理工程师及以上职称。</w:t>
            </w:r>
          </w:p>
          <w:p>
            <w:pPr>
              <w:adjustRightInd w:val="0"/>
              <w:snapToGrid w:val="0"/>
              <w:spacing w:line="360" w:lineRule="auto"/>
              <w:jc w:val="left"/>
              <w:rPr>
                <w:rFonts w:ascii="宋体" w:hAnsi="宋体" w:cs="宋体"/>
                <w:sz w:val="24"/>
              </w:rPr>
            </w:pPr>
            <w:r>
              <w:rPr>
                <w:rFonts w:hint="eastAsia" w:ascii="宋体" w:hAnsi="宋体" w:cs="宋体"/>
                <w:sz w:val="24"/>
              </w:rPr>
              <w:t>3、施工项目部关键岗位人员必须专业配套、证件齐全、人数符合要求。施工项目部关键岗位人员配备标准：</w:t>
            </w:r>
            <w:r>
              <w:rPr>
                <w:rFonts w:hint="eastAsia" w:ascii="宋体" w:hAnsi="宋体" w:cs="宋体"/>
                <w:b/>
                <w:bCs/>
                <w:sz w:val="24"/>
                <w:u w:val="single"/>
              </w:rPr>
              <w:t>项目经理（建造师）、技术负责人（1名）、质量员（1名）、施工员（1名）、安全员（1名）、材料员（1名，可兼任）。</w:t>
            </w:r>
            <w:r>
              <w:rPr>
                <w:rFonts w:hint="eastAsia" w:ascii="宋体" w:hAnsi="宋体" w:cs="宋体"/>
                <w:sz w:val="24"/>
              </w:rPr>
              <w:t>专业不配套或人数不符合要求的，应按不实质性响应招标文件要求处理。</w:t>
            </w:r>
          </w:p>
          <w:p>
            <w:pPr>
              <w:adjustRightInd w:val="0"/>
              <w:snapToGrid w:val="0"/>
              <w:spacing w:line="360" w:lineRule="auto"/>
              <w:jc w:val="left"/>
              <w:rPr>
                <w:rFonts w:ascii="宋体" w:hAnsi="宋体" w:cs="宋体"/>
                <w:sz w:val="24"/>
              </w:rPr>
            </w:pPr>
            <w:r>
              <w:rPr>
                <w:rFonts w:hint="eastAsia" w:ascii="宋体" w:hAnsi="宋体" w:cs="宋体"/>
                <w:sz w:val="24"/>
              </w:rPr>
              <w:t>4、项目经理（建造师）及项目班子成员以投标文件载明的成员名单为准。</w:t>
            </w:r>
          </w:p>
          <w:p>
            <w:pPr>
              <w:adjustRightInd w:val="0"/>
              <w:snapToGrid w:val="0"/>
              <w:spacing w:beforeLines="20" w:afterLines="20" w:line="360" w:lineRule="auto"/>
              <w:jc w:val="left"/>
              <w:rPr>
                <w:rFonts w:ascii="宋体" w:hAnsi="宋体" w:cs="宋体"/>
                <w:sz w:val="24"/>
              </w:rPr>
            </w:pPr>
            <w:r>
              <w:rPr>
                <w:rFonts w:hint="eastAsia" w:ascii="宋体" w:hAnsi="宋体" w:cs="宋体"/>
                <w:sz w:val="24"/>
              </w:rPr>
              <w:t>其它要求：</w:t>
            </w:r>
          </w:p>
          <w:p>
            <w:pPr>
              <w:adjustRightInd w:val="0"/>
              <w:snapToGrid w:val="0"/>
              <w:spacing w:beforeLines="20" w:afterLines="20" w:line="360" w:lineRule="auto"/>
              <w:jc w:val="left"/>
              <w:rPr>
                <w:rFonts w:ascii="宋体" w:hAnsi="宋体" w:cs="宋体"/>
                <w:sz w:val="24"/>
              </w:rPr>
            </w:pPr>
            <w:r>
              <w:rPr>
                <w:rFonts w:hint="eastAsia" w:ascii="宋体" w:hAnsi="宋体" w:cs="宋体"/>
                <w:sz w:val="24"/>
              </w:rPr>
              <w:t>（1）企业不得出借本企业资质、证照以及本企业注册建造师等工作人员的资质、证照供他人投标，对出借资质、证照的，无论何时发现，属于投标未中标的，其投标保证金不予退还；属于已中标的，将取消其中标资格或终止合同，其投标保证金、履约保证金不予退还，情节严重的将提请执法机关查处，直至追究刑事责任，并向社会公开曝光。</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58"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pStyle w:val="38"/>
              <w:widowControl w:val="0"/>
              <w:adjustRightInd w:val="0"/>
              <w:snapToGrid w:val="0"/>
              <w:spacing w:before="0" w:beforeAutospacing="0" w:after="0" w:afterAutospacing="0" w:line="360" w:lineRule="auto"/>
              <w:rPr>
                <w:rStyle w:val="21"/>
                <w:rFonts w:cs="宋体"/>
                <w:b w:val="0"/>
              </w:rPr>
            </w:pPr>
            <w:r>
              <w:rPr>
                <w:rStyle w:val="21"/>
                <w:rFonts w:hint="eastAsia" w:cs="宋体"/>
                <w:b w:val="0"/>
              </w:rPr>
              <w:t>16</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center"/>
              <w:rPr>
                <w:rFonts w:ascii="宋体" w:hAnsi="宋体" w:cs="宋体"/>
                <w:sz w:val="24"/>
              </w:rPr>
            </w:pPr>
            <w:r>
              <w:rPr>
                <w:rFonts w:hint="eastAsia" w:ascii="宋体" w:hAnsi="宋体" w:cs="宋体"/>
                <w:sz w:val="24"/>
              </w:rPr>
              <w:t>投标文件</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壹份正本，肆</w:t>
            </w:r>
            <w:r>
              <w:rPr>
                <w:rFonts w:hint="eastAsia" w:ascii="宋体" w:hAnsi="宋体" w:cs="宋体"/>
                <w:sz w:val="24"/>
                <w:u w:color="FF0000"/>
              </w:rPr>
              <w:t>份副本。商务标、技术标可采用合订本，正本与副本可密封在同一包装袋中。</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75"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pStyle w:val="38"/>
              <w:widowControl w:val="0"/>
              <w:adjustRightInd w:val="0"/>
              <w:snapToGrid w:val="0"/>
              <w:spacing w:before="0" w:beforeAutospacing="0" w:after="0" w:afterAutospacing="0" w:line="360" w:lineRule="auto"/>
              <w:rPr>
                <w:rStyle w:val="21"/>
                <w:rFonts w:cs="宋体"/>
                <w:b w:val="0"/>
              </w:rPr>
            </w:pPr>
            <w:r>
              <w:rPr>
                <w:rStyle w:val="21"/>
                <w:rFonts w:hint="eastAsia" w:cs="宋体"/>
                <w:b w:val="0"/>
              </w:rPr>
              <w:t>17</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pStyle w:val="38"/>
              <w:widowControl w:val="0"/>
              <w:adjustRightInd w:val="0"/>
              <w:snapToGrid w:val="0"/>
              <w:spacing w:before="0" w:beforeAutospacing="0" w:after="0" w:afterAutospacing="0" w:line="360" w:lineRule="auto"/>
              <w:jc w:val="center"/>
              <w:rPr>
                <w:rFonts w:cs="宋体"/>
              </w:rPr>
            </w:pPr>
            <w:r>
              <w:rPr>
                <w:rFonts w:hint="eastAsia" w:cs="宋体"/>
              </w:rPr>
              <w:t>投标有效期</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pStyle w:val="38"/>
              <w:adjustRightInd w:val="0"/>
              <w:snapToGrid w:val="0"/>
              <w:spacing w:before="0" w:beforeAutospacing="0" w:after="0" w:afterAutospacing="0" w:line="360" w:lineRule="auto"/>
              <w:rPr>
                <w:rFonts w:cs="宋体"/>
              </w:rPr>
            </w:pPr>
            <w:r>
              <w:rPr>
                <w:rFonts w:hint="eastAsia" w:cs="宋体"/>
              </w:rPr>
              <w:t>投标文件提交截止时间后：</w:t>
            </w:r>
            <w:r>
              <w:rPr>
                <w:rFonts w:hint="eastAsia" w:cs="宋体"/>
                <w:u w:val="single"/>
              </w:rPr>
              <w:t>30</w:t>
            </w:r>
            <w:r>
              <w:rPr>
                <w:rFonts w:hint="eastAsia" w:cs="宋体"/>
              </w:rPr>
              <w:t xml:space="preserve">天内有效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054"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pStyle w:val="38"/>
              <w:widowControl w:val="0"/>
              <w:adjustRightInd w:val="0"/>
              <w:snapToGrid w:val="0"/>
              <w:spacing w:before="0" w:beforeAutospacing="0" w:after="0" w:afterAutospacing="0" w:line="360" w:lineRule="auto"/>
              <w:rPr>
                <w:rStyle w:val="21"/>
                <w:rFonts w:cs="宋体"/>
                <w:b w:val="0"/>
              </w:rPr>
            </w:pPr>
            <w:r>
              <w:rPr>
                <w:rStyle w:val="21"/>
                <w:rFonts w:hint="eastAsia" w:cs="宋体"/>
                <w:b w:val="0"/>
              </w:rPr>
              <w:t>18</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pStyle w:val="38"/>
              <w:widowControl w:val="0"/>
              <w:adjustRightInd w:val="0"/>
              <w:snapToGrid w:val="0"/>
              <w:spacing w:before="0" w:beforeAutospacing="0" w:after="0" w:afterAutospacing="0" w:line="360" w:lineRule="auto"/>
              <w:jc w:val="center"/>
              <w:rPr>
                <w:rStyle w:val="21"/>
                <w:rFonts w:cs="宋体"/>
                <w:b w:val="0"/>
              </w:rPr>
            </w:pPr>
            <w:r>
              <w:rPr>
                <w:rFonts w:hint="eastAsia" w:cs="宋体"/>
                <w:b/>
                <w:bCs/>
                <w:kern w:val="2"/>
              </w:rPr>
              <w:t>投标保证金</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pStyle w:val="8"/>
              <w:adjustRightInd w:val="0"/>
              <w:snapToGrid w:val="0"/>
              <w:spacing w:line="360" w:lineRule="auto"/>
              <w:jc w:val="left"/>
              <w:rPr>
                <w:rStyle w:val="21"/>
                <w:rFonts w:ascii="宋体" w:hAnsi="宋体" w:cs="宋体"/>
                <w:b w:val="0"/>
                <w:sz w:val="24"/>
                <w:szCs w:val="24"/>
              </w:rPr>
            </w:pPr>
            <w:r>
              <w:rPr>
                <w:rStyle w:val="21"/>
                <w:rFonts w:hint="eastAsia" w:ascii="宋体" w:hAnsi="宋体" w:cs="宋体"/>
                <w:b w:val="0"/>
                <w:sz w:val="24"/>
                <w:szCs w:val="24"/>
              </w:rPr>
              <w:t>保证金允许方式： </w:t>
            </w:r>
            <w:r>
              <w:rPr>
                <w:rStyle w:val="21"/>
                <w:rFonts w:hint="eastAsia" w:ascii="宋体" w:hAnsi="宋体" w:cs="宋体"/>
                <w:b w:val="0"/>
                <w:sz w:val="24"/>
                <w:szCs w:val="24"/>
              </w:rPr>
              <w:fldChar w:fldCharType="begin"/>
            </w:r>
            <w:r>
              <w:rPr>
                <w:rStyle w:val="21"/>
                <w:rFonts w:hint="eastAsia" w:ascii="宋体" w:hAnsi="宋体" w:cs="宋体"/>
                <w:b w:val="0"/>
                <w:sz w:val="24"/>
                <w:szCs w:val="24"/>
              </w:rPr>
              <w:instrText xml:space="preserve"> eq \o\ac(</w:instrText>
            </w:r>
            <w:r>
              <w:rPr>
                <w:rStyle w:val="21"/>
                <w:rFonts w:hint="eastAsia" w:ascii="宋体" w:hAnsi="宋体" w:cs="宋体"/>
                <w:b w:val="0"/>
                <w:position w:val="-4"/>
                <w:sz w:val="36"/>
                <w:szCs w:val="24"/>
              </w:rPr>
              <w:instrText xml:space="preserve">□</w:instrText>
            </w:r>
            <w:r>
              <w:rPr>
                <w:rStyle w:val="21"/>
                <w:rFonts w:hint="eastAsia" w:ascii="宋体" w:hAnsi="宋体" w:cs="宋体"/>
                <w:b w:val="0"/>
                <w:sz w:val="24"/>
                <w:szCs w:val="24"/>
              </w:rPr>
              <w:instrText xml:space="preserve">,√)</w:instrText>
            </w:r>
            <w:r>
              <w:rPr>
                <w:rStyle w:val="21"/>
                <w:rFonts w:hint="eastAsia" w:ascii="宋体" w:hAnsi="宋体" w:cs="宋体"/>
                <w:b w:val="0"/>
                <w:sz w:val="24"/>
                <w:szCs w:val="24"/>
              </w:rPr>
              <w:fldChar w:fldCharType="end"/>
            </w:r>
            <w:r>
              <w:rPr>
                <w:rStyle w:val="21"/>
                <w:rFonts w:hint="eastAsia" w:ascii="宋体" w:hAnsi="宋体" w:cs="宋体"/>
                <w:b w:val="0"/>
                <w:sz w:val="24"/>
                <w:szCs w:val="24"/>
              </w:rPr>
              <w:t xml:space="preserve"> 现 金</w:t>
            </w:r>
          </w:p>
          <w:p>
            <w:pPr>
              <w:pStyle w:val="8"/>
              <w:adjustRightInd w:val="0"/>
              <w:snapToGrid w:val="0"/>
              <w:spacing w:line="360" w:lineRule="auto"/>
              <w:jc w:val="left"/>
              <w:rPr>
                <w:rStyle w:val="21"/>
                <w:rFonts w:ascii="宋体" w:hAnsi="宋体" w:cs="宋体"/>
                <w:b w:val="0"/>
                <w:color w:val="FF0000"/>
                <w:sz w:val="24"/>
                <w:szCs w:val="24"/>
              </w:rPr>
            </w:pPr>
            <w:r>
              <w:rPr>
                <w:rStyle w:val="21"/>
                <w:rFonts w:hint="eastAsia" w:ascii="宋体" w:hAnsi="宋体" w:cs="宋体"/>
                <w:b w:val="0"/>
                <w:sz w:val="24"/>
                <w:szCs w:val="24"/>
              </w:rPr>
              <w:t>保证金数额：</w:t>
            </w:r>
            <w:r>
              <w:rPr>
                <w:rStyle w:val="21"/>
                <w:rFonts w:hint="eastAsia" w:ascii="宋体" w:hAnsi="宋体" w:cs="宋体"/>
                <w:b w:val="0"/>
                <w:color w:val="FF0000"/>
                <w:sz w:val="24"/>
                <w:szCs w:val="24"/>
              </w:rPr>
              <w:t>人民币</w:t>
            </w:r>
            <w:r>
              <w:rPr>
                <w:rStyle w:val="21"/>
                <w:rFonts w:hint="eastAsia" w:ascii="宋体" w:hAnsi="宋体" w:cs="宋体"/>
                <w:bCs/>
                <w:color w:val="FF0000"/>
                <w:sz w:val="24"/>
                <w:szCs w:val="24"/>
              </w:rPr>
              <w:t>1</w:t>
            </w:r>
            <w:r>
              <w:rPr>
                <w:rFonts w:hint="eastAsia" w:ascii="宋体" w:hAnsi="宋体" w:cs="宋体"/>
                <w:b/>
                <w:bCs/>
                <w:color w:val="FF0000"/>
                <w:sz w:val="24"/>
                <w:szCs w:val="24"/>
              </w:rPr>
              <w:t>00000元</w:t>
            </w:r>
          </w:p>
          <w:p>
            <w:pPr>
              <w:adjustRightInd w:val="0"/>
              <w:snapToGrid w:val="0"/>
              <w:spacing w:line="360" w:lineRule="auto"/>
              <w:jc w:val="left"/>
              <w:rPr>
                <w:rFonts w:ascii="宋体" w:hAnsi="宋体" w:cs="宋体"/>
                <w:sz w:val="24"/>
              </w:rPr>
            </w:pPr>
            <w:r>
              <w:rPr>
                <w:rFonts w:hint="eastAsia" w:ascii="宋体" w:hAnsi="宋体" w:cs="宋体"/>
                <w:sz w:val="24"/>
              </w:rPr>
              <w:t>退还方式：中标单位的投标保证金在领取中标通知书时，扣除相应的招标代理服务费、清单及控制价编制费、评标咨询费、场地费等费用后，当场退还；其他单位的投标保证金（含中标备选单位）在确定中标单位后现场退回。</w:t>
            </w:r>
          </w:p>
          <w:p>
            <w:pPr>
              <w:adjustRightInd w:val="0"/>
              <w:snapToGrid w:val="0"/>
              <w:spacing w:line="360" w:lineRule="auto"/>
              <w:jc w:val="left"/>
              <w:rPr>
                <w:rFonts w:ascii="宋体" w:hAnsi="宋体" w:cs="宋体"/>
                <w:b/>
                <w:bCs/>
                <w:sz w:val="24"/>
              </w:rPr>
            </w:pPr>
            <w:r>
              <w:rPr>
                <w:rFonts w:hint="eastAsia" w:ascii="宋体" w:hAnsi="宋体" w:cs="宋体"/>
                <w:b/>
                <w:bCs/>
                <w:sz w:val="24"/>
              </w:rPr>
              <w:t>注：1、保证金提交时限：随同投标文件时间一并递交。</w:t>
            </w:r>
          </w:p>
          <w:p>
            <w:pPr>
              <w:adjustRightInd w:val="0"/>
              <w:snapToGrid w:val="0"/>
              <w:spacing w:line="360" w:lineRule="auto"/>
              <w:jc w:val="left"/>
              <w:rPr>
                <w:rStyle w:val="21"/>
                <w:rFonts w:ascii="宋体" w:hAnsi="宋体" w:cs="宋体"/>
                <w:b w:val="0"/>
                <w:sz w:val="24"/>
              </w:rPr>
            </w:pPr>
            <w:r>
              <w:rPr>
                <w:rFonts w:hint="eastAsia" w:ascii="宋体" w:hAnsi="宋体" w:cs="宋体"/>
                <w:b/>
                <w:bCs/>
                <w:sz w:val="24"/>
              </w:rPr>
              <w:t xml:space="preserve">    2、未能足额提供保证金的标书一律不予评审。</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51"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pStyle w:val="38"/>
              <w:widowControl w:val="0"/>
              <w:adjustRightInd w:val="0"/>
              <w:snapToGrid w:val="0"/>
              <w:spacing w:before="0" w:beforeAutospacing="0" w:after="0" w:afterAutospacing="0" w:line="360" w:lineRule="auto"/>
              <w:rPr>
                <w:rStyle w:val="21"/>
                <w:rFonts w:cs="宋体"/>
                <w:b w:val="0"/>
              </w:rPr>
            </w:pPr>
            <w:r>
              <w:rPr>
                <w:rStyle w:val="21"/>
                <w:rFonts w:hint="eastAsia" w:cs="宋体"/>
                <w:b w:val="0"/>
              </w:rPr>
              <w:t>19</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pStyle w:val="38"/>
              <w:widowControl w:val="0"/>
              <w:adjustRightInd w:val="0"/>
              <w:snapToGrid w:val="0"/>
              <w:spacing w:before="0" w:beforeAutospacing="0" w:after="0" w:afterAutospacing="0" w:line="360" w:lineRule="auto"/>
              <w:jc w:val="center"/>
              <w:rPr>
                <w:rStyle w:val="21"/>
                <w:rFonts w:cs="宋体"/>
                <w:b w:val="0"/>
              </w:rPr>
            </w:pPr>
            <w:r>
              <w:rPr>
                <w:rFonts w:hint="eastAsia" w:cs="宋体"/>
                <w:b/>
                <w:bCs/>
                <w:kern w:val="2"/>
              </w:rPr>
              <w:t>中标人履约担保</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保证方式：</w:t>
            </w:r>
            <w:r>
              <w:rPr>
                <w:rFonts w:hint="eastAsia" w:ascii="宋体" w:hAnsi="宋体" w:cs="宋体"/>
                <w:b/>
                <w:bCs/>
                <w:color w:val="FF0000"/>
                <w:sz w:val="24"/>
              </w:rPr>
              <w:t>50%现金+50</w:t>
            </w:r>
            <w:r>
              <w:rPr>
                <w:rFonts w:hint="eastAsia" w:ascii="宋体" w:hAnsi="宋体" w:cs="宋体"/>
                <w:b/>
                <w:bCs/>
                <w:color w:val="FF0000"/>
                <w:sz w:val="24"/>
                <w:lang w:val="en-US" w:eastAsia="zh-CN"/>
              </w:rPr>
              <w:t>%</w:t>
            </w:r>
            <w:r>
              <w:rPr>
                <w:rFonts w:hint="eastAsia" w:ascii="宋体" w:hAnsi="宋体" w:cs="宋体"/>
                <w:b/>
                <w:bCs/>
                <w:color w:val="FF0000"/>
                <w:sz w:val="24"/>
              </w:rPr>
              <w:t>保函。</w:t>
            </w:r>
          </w:p>
          <w:p>
            <w:pPr>
              <w:adjustRightInd w:val="0"/>
              <w:snapToGrid w:val="0"/>
              <w:spacing w:line="360" w:lineRule="auto"/>
              <w:jc w:val="left"/>
              <w:rPr>
                <w:rFonts w:ascii="宋体" w:hAnsi="宋体" w:cs="宋体"/>
                <w:sz w:val="24"/>
              </w:rPr>
            </w:pPr>
            <w:r>
              <w:rPr>
                <w:rFonts w:hint="eastAsia" w:ascii="宋体" w:hAnsi="宋体" w:cs="宋体"/>
                <w:sz w:val="24"/>
              </w:rPr>
              <w:t>保证金数额：</w:t>
            </w:r>
            <w:r>
              <w:rPr>
                <w:rFonts w:hint="eastAsia" w:ascii="宋体" w:hAnsi="宋体" w:cs="宋体"/>
                <w:b/>
                <w:bCs/>
                <w:color w:val="FF0000"/>
                <w:sz w:val="24"/>
              </w:rPr>
              <w:t>中标人按合同总价额即中标价的10％提交履约保证金。</w:t>
            </w:r>
            <w:r>
              <w:rPr>
                <w:rFonts w:hint="eastAsia" w:ascii="宋体" w:hAnsi="宋体" w:cs="宋体"/>
                <w:sz w:val="24"/>
              </w:rPr>
              <w:t>如中标人以现金进行履约保证的，应将现金提交到招标单位指定的银行账户。</w:t>
            </w:r>
          </w:p>
          <w:p>
            <w:pPr>
              <w:adjustRightInd w:val="0"/>
              <w:snapToGrid w:val="0"/>
              <w:spacing w:line="360" w:lineRule="auto"/>
              <w:jc w:val="left"/>
              <w:rPr>
                <w:rFonts w:ascii="宋体" w:hAnsi="宋体" w:cs="宋体"/>
                <w:sz w:val="24"/>
              </w:rPr>
            </w:pPr>
            <w:r>
              <w:rPr>
                <w:rFonts w:hint="eastAsia" w:ascii="宋体" w:hAnsi="宋体" w:cs="宋体"/>
                <w:sz w:val="24"/>
              </w:rPr>
              <w:t>提交时限：中标公示后在投诉期内无异议的，中标人自投诉期满次日起10个工作日内提交履约保证金，并在提交完毕次日起10日内与招标人（发包人）签订合同。在投诉期内有异议的，经调查处理属于异议不成立的，自确认异议不成立次日起10个工作日内提交履约保证金，并在提交完毕次日起10日内与招标人（发包人）签订合同。</w:t>
            </w:r>
          </w:p>
          <w:p>
            <w:pPr>
              <w:adjustRightInd w:val="0"/>
              <w:snapToGrid w:val="0"/>
              <w:spacing w:line="360" w:lineRule="auto"/>
              <w:jc w:val="left"/>
              <w:rPr>
                <w:rStyle w:val="21"/>
                <w:rFonts w:ascii="宋体" w:hAnsi="宋体" w:cs="宋体"/>
                <w:b w:val="0"/>
                <w:sz w:val="24"/>
              </w:rPr>
            </w:pPr>
            <w:r>
              <w:rPr>
                <w:rFonts w:hint="eastAsia" w:ascii="宋体" w:hAnsi="宋体" w:cs="宋体"/>
                <w:sz w:val="24"/>
              </w:rPr>
              <w:t>中标人必须按上述要求提交履约保证金并与招标人（发包人）签订合同，超过时限未提交履约保证金或因中标人自身原因未在招标文件约定时限内签订合同的，其中标资格无效，招标人依据《中华人民共和国招标投标法实施条例》第五十五条规定依次确定其他中标候选人为中标人或重新招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12"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pStyle w:val="38"/>
              <w:widowControl w:val="0"/>
              <w:adjustRightInd w:val="0"/>
              <w:snapToGrid w:val="0"/>
              <w:spacing w:before="0" w:beforeAutospacing="0" w:after="0" w:afterAutospacing="0" w:line="360" w:lineRule="auto"/>
              <w:rPr>
                <w:rStyle w:val="21"/>
                <w:rFonts w:cs="宋体"/>
                <w:b w:val="0"/>
              </w:rPr>
            </w:pPr>
            <w:r>
              <w:rPr>
                <w:rStyle w:val="21"/>
                <w:rFonts w:hint="eastAsia" w:cs="宋体"/>
                <w:b w:val="0"/>
              </w:rPr>
              <w:t>20</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center"/>
              <w:rPr>
                <w:rFonts w:ascii="宋体" w:hAnsi="宋体" w:cs="宋体"/>
                <w:sz w:val="24"/>
              </w:rPr>
            </w:pPr>
            <w:r>
              <w:rPr>
                <w:rFonts w:hint="eastAsia" w:ascii="宋体" w:hAnsi="宋体" w:cs="宋体"/>
                <w:sz w:val="24"/>
              </w:rPr>
              <w:t>安全文明要求</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必须确保安全文明施工，依据国家现行相关规定执行。</w:t>
            </w:r>
            <w:r>
              <w:rPr>
                <w:rFonts w:hint="eastAsia" w:ascii="宋体" w:hAnsi="宋体" w:cs="宋体"/>
                <w:b/>
                <w:bCs/>
                <w:color w:val="FF0000"/>
                <w:sz w:val="24"/>
              </w:rPr>
              <w:t>同时，满足施工期间医院运营的防尘、防噪音、卫生洁净的要求。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34"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pStyle w:val="38"/>
              <w:widowControl w:val="0"/>
              <w:adjustRightInd w:val="0"/>
              <w:snapToGrid w:val="0"/>
              <w:spacing w:before="0" w:beforeAutospacing="0" w:after="0" w:afterAutospacing="0" w:line="360" w:lineRule="auto"/>
              <w:rPr>
                <w:rStyle w:val="21"/>
                <w:rFonts w:cs="宋体"/>
                <w:b w:val="0"/>
              </w:rPr>
            </w:pPr>
            <w:r>
              <w:rPr>
                <w:rStyle w:val="21"/>
                <w:rFonts w:hint="eastAsia" w:cs="宋体"/>
                <w:b w:val="0"/>
              </w:rPr>
              <w:t>21</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center"/>
              <w:rPr>
                <w:rFonts w:ascii="宋体" w:hAnsi="宋体" w:cs="宋体"/>
                <w:sz w:val="24"/>
              </w:rPr>
            </w:pPr>
            <w:r>
              <w:rPr>
                <w:rFonts w:hint="eastAsia" w:ascii="宋体" w:hAnsi="宋体" w:cs="宋体"/>
                <w:sz w:val="24"/>
              </w:rPr>
              <w:t>总包及分包规定</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不允许分包</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88" w:hRule="atLeast"/>
          <w:jc w:val="center"/>
        </w:trPr>
        <w:tc>
          <w:tcPr>
            <w:tcW w:w="700" w:type="dxa"/>
            <w:tcBorders>
              <w:top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22</w:t>
            </w:r>
          </w:p>
        </w:tc>
        <w:tc>
          <w:tcPr>
            <w:tcW w:w="2225" w:type="dxa"/>
            <w:tcBorders>
              <w:top w:val="single" w:color="auto" w:sz="4" w:space="0"/>
              <w:left w:val="single" w:color="auto" w:sz="4" w:space="0"/>
              <w:righ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现场条件</w:t>
            </w:r>
          </w:p>
        </w:tc>
        <w:tc>
          <w:tcPr>
            <w:tcW w:w="7037" w:type="dxa"/>
            <w:tcBorders>
              <w:top w:val="single" w:color="auto" w:sz="4" w:space="0"/>
              <w:left w:val="single" w:color="auto" w:sz="4" w:space="0"/>
            </w:tcBorders>
            <w:tcMar>
              <w:top w:w="0" w:type="dxa"/>
              <w:left w:w="108" w:type="dxa"/>
              <w:bottom w:w="0" w:type="dxa"/>
              <w:right w:w="108" w:type="dxa"/>
            </w:tcMar>
            <w:vAlign w:val="center"/>
          </w:tcPr>
          <w:p>
            <w:pPr>
              <w:adjustRightInd w:val="0"/>
              <w:snapToGrid w:val="0"/>
              <w:spacing w:beforeLines="20" w:afterLines="20" w:line="360" w:lineRule="auto"/>
              <w:jc w:val="left"/>
              <w:rPr>
                <w:rFonts w:ascii="宋体" w:hAnsi="宋体" w:cs="宋体"/>
                <w:sz w:val="24"/>
              </w:rPr>
            </w:pPr>
            <w:r>
              <w:rPr>
                <w:rFonts w:hint="eastAsia" w:ascii="宋体" w:hAnsi="宋体" w:cs="宋体"/>
                <w:sz w:val="24"/>
              </w:rPr>
              <w:t>已具备施工条件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98"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23</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pStyle w:val="13"/>
              <w:adjustRightInd w:val="0"/>
              <w:snapToGrid w:val="0"/>
              <w:spacing w:line="360" w:lineRule="auto"/>
              <w:jc w:val="left"/>
              <w:rPr>
                <w:rFonts w:hAnsi="宋体" w:cs="宋体"/>
                <w:szCs w:val="24"/>
              </w:rPr>
            </w:pPr>
            <w:r>
              <w:rPr>
                <w:rFonts w:hint="eastAsia" w:hAnsi="宋体" w:cs="宋体"/>
                <w:szCs w:val="24"/>
              </w:rPr>
              <w:t>招标人提供的招标文件、图纸及其他资料</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bCs/>
                <w:sz w:val="24"/>
                <w:u w:val="single"/>
              </w:rPr>
            </w:pPr>
            <w:r>
              <w:rPr>
                <w:rFonts w:hint="eastAsia" w:ascii="宋体" w:hAnsi="宋体" w:cs="宋体"/>
                <w:sz w:val="24"/>
              </w:rPr>
              <w:t>招标文件及工程量清单、施工图纸</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50"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24</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投标文件递交截止时间</w:t>
            </w:r>
          </w:p>
          <w:p>
            <w:pPr>
              <w:adjustRightInd w:val="0"/>
              <w:snapToGrid w:val="0"/>
              <w:spacing w:line="360" w:lineRule="auto"/>
              <w:jc w:val="left"/>
              <w:rPr>
                <w:rFonts w:ascii="宋体" w:hAnsi="宋体" w:cs="宋体"/>
                <w:sz w:val="24"/>
              </w:rPr>
            </w:pPr>
            <w:r>
              <w:rPr>
                <w:rFonts w:hint="eastAsia" w:ascii="宋体" w:hAnsi="宋体" w:cs="宋体"/>
                <w:sz w:val="24"/>
              </w:rPr>
              <w:t>及开标时间</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b/>
                <w:sz w:val="24"/>
              </w:rPr>
            </w:pPr>
            <w:r>
              <w:rPr>
                <w:rFonts w:hint="eastAsia" w:ascii="宋体" w:hAnsi="宋体" w:cs="宋体"/>
                <w:sz w:val="24"/>
              </w:rPr>
              <w:t xml:space="preserve">2020年 </w:t>
            </w:r>
            <w:r>
              <w:rPr>
                <w:rFonts w:hint="eastAsia" w:ascii="宋体" w:hAnsi="宋体" w:cs="宋体"/>
                <w:sz w:val="24"/>
                <w:lang w:val="en-US" w:eastAsia="zh-CN"/>
              </w:rPr>
              <w:t>7</w:t>
            </w:r>
            <w:r>
              <w:rPr>
                <w:rFonts w:hint="eastAsia" w:ascii="宋体" w:hAnsi="宋体" w:cs="宋体"/>
                <w:sz w:val="24"/>
              </w:rPr>
              <w:t xml:space="preserve"> 月 </w:t>
            </w:r>
            <w:r>
              <w:rPr>
                <w:rFonts w:hint="eastAsia" w:ascii="宋体" w:hAnsi="宋体" w:cs="宋体"/>
                <w:sz w:val="24"/>
                <w:lang w:val="en-US" w:eastAsia="zh-CN"/>
              </w:rPr>
              <w:t>11</w:t>
            </w:r>
            <w:r>
              <w:rPr>
                <w:rFonts w:hint="eastAsia" w:ascii="宋体" w:hAnsi="宋体" w:cs="宋体"/>
                <w:sz w:val="24"/>
              </w:rPr>
              <w:t xml:space="preserve">  日 </w:t>
            </w:r>
            <w:r>
              <w:rPr>
                <w:rFonts w:hint="eastAsia" w:ascii="宋体" w:hAnsi="宋体" w:cs="宋体"/>
                <w:sz w:val="24"/>
                <w:lang w:val="en-US" w:eastAsia="zh-CN"/>
              </w:rPr>
              <w:t>9</w:t>
            </w:r>
            <w:r>
              <w:rPr>
                <w:rFonts w:hint="eastAsia" w:ascii="宋体" w:hAnsi="宋体" w:cs="宋体"/>
                <w:sz w:val="24"/>
              </w:rPr>
              <w:t xml:space="preserve">  时 00 分，投标文件逾期送达者现场退回，不予接收。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20"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25</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投标文件递交及开标地点</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b/>
                <w:sz w:val="24"/>
              </w:rPr>
            </w:pPr>
            <w:r>
              <w:rPr>
                <w:rFonts w:hint="eastAsia" w:ascii="宋体" w:hAnsi="宋体" w:cs="宋体"/>
                <w:sz w:val="24"/>
              </w:rPr>
              <w:t>六安市磨子潭路六安世立医院会议室</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2"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26</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pStyle w:val="13"/>
              <w:adjustRightInd w:val="0"/>
              <w:snapToGrid w:val="0"/>
              <w:spacing w:line="360" w:lineRule="auto"/>
              <w:jc w:val="left"/>
              <w:rPr>
                <w:rFonts w:hAnsi="宋体" w:cs="宋体"/>
                <w:szCs w:val="24"/>
              </w:rPr>
            </w:pPr>
            <w:r>
              <w:rPr>
                <w:rFonts w:hint="eastAsia" w:hAnsi="宋体" w:cs="宋体"/>
                <w:szCs w:val="24"/>
              </w:rPr>
              <w:t>递交投标文件注意事项</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pStyle w:val="12"/>
              <w:adjustRightInd w:val="0"/>
              <w:snapToGrid w:val="0"/>
              <w:spacing w:line="360" w:lineRule="auto"/>
              <w:ind w:firstLine="0"/>
              <w:jc w:val="left"/>
              <w:rPr>
                <w:rFonts w:hAnsi="宋体" w:cs="宋体"/>
                <w:b/>
                <w:bCs/>
                <w:color w:val="auto"/>
                <w:sz w:val="24"/>
                <w:szCs w:val="24"/>
              </w:rPr>
            </w:pPr>
            <w:r>
              <w:rPr>
                <w:rFonts w:hint="eastAsia" w:hAnsi="宋体" w:cs="宋体"/>
                <w:b/>
                <w:color w:val="auto"/>
                <w:sz w:val="24"/>
                <w:szCs w:val="24"/>
              </w:rPr>
              <w:t>投标文件不得采用活页装订，否则、按废标处理。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180"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27</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pStyle w:val="13"/>
              <w:adjustRightInd w:val="0"/>
              <w:snapToGrid w:val="0"/>
              <w:spacing w:line="360" w:lineRule="auto"/>
              <w:jc w:val="left"/>
              <w:rPr>
                <w:rFonts w:hAnsi="宋体" w:cs="宋体"/>
                <w:szCs w:val="24"/>
              </w:rPr>
            </w:pPr>
            <w:r>
              <w:rPr>
                <w:rFonts w:hint="eastAsia" w:hAnsi="宋体" w:cs="宋体"/>
                <w:szCs w:val="24"/>
              </w:rPr>
              <w:t>开标注意事项</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投标人参加开标会议现场应出示以下资料：</w:t>
            </w:r>
          </w:p>
          <w:p>
            <w:pPr>
              <w:adjustRightInd w:val="0"/>
              <w:snapToGrid w:val="0"/>
              <w:spacing w:line="360" w:lineRule="auto"/>
              <w:jc w:val="left"/>
              <w:rPr>
                <w:rFonts w:ascii="宋体" w:hAnsi="宋体" w:cs="宋体"/>
                <w:b/>
                <w:bCs/>
                <w:sz w:val="24"/>
              </w:rPr>
            </w:pPr>
            <w:r>
              <w:rPr>
                <w:rFonts w:hint="eastAsia" w:ascii="宋体" w:hAnsi="宋体" w:cs="宋体"/>
                <w:sz w:val="24"/>
              </w:rPr>
              <w:t>(1)企业营业执照（原件或复印件加盖公章）； (2)资质证书及安全生产许可证（原件或复印件加盖公章）； (3)法定代表人授权委托书原件及授权委托人身份证原件；</w:t>
            </w:r>
          </w:p>
          <w:p>
            <w:pPr>
              <w:adjustRightInd w:val="0"/>
              <w:snapToGrid w:val="0"/>
              <w:spacing w:line="360" w:lineRule="auto"/>
              <w:jc w:val="left"/>
              <w:rPr>
                <w:rFonts w:ascii="宋体" w:hAnsi="宋体" w:cs="宋体"/>
                <w:sz w:val="24"/>
              </w:rPr>
            </w:pPr>
            <w:r>
              <w:rPr>
                <w:rFonts w:hint="eastAsia" w:ascii="宋体" w:hAnsi="宋体" w:cs="宋体"/>
                <w:b/>
                <w:bCs/>
                <w:sz w:val="24"/>
              </w:rPr>
              <w:t>注：投标人的法定代表人或其授权委托代理人必须参加开标会议</w:t>
            </w:r>
            <w:r>
              <w:rPr>
                <w:rFonts w:hint="eastAsia" w:ascii="宋体" w:hAnsi="宋体" w:cs="宋体"/>
                <w:sz w:val="24"/>
              </w:rPr>
              <w:t>。各投标人参加开标会议的人数不得超过3人。若是投标人的法定代表人到场的应出示本人居民身份证和法定代表人身份证明书原件；若是授权委托人到场的应出示本人居民身份证和有效的授权委托书原件。凡不能出示上述有效证件或到场人员与证件载明的人员不一致或未出席开标会议者，投标文件不予接受，投标资格无效。</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150"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28</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pStyle w:val="13"/>
              <w:adjustRightInd w:val="0"/>
              <w:snapToGrid w:val="0"/>
              <w:spacing w:line="360" w:lineRule="auto"/>
              <w:jc w:val="left"/>
              <w:rPr>
                <w:rFonts w:hAnsi="宋体" w:cs="宋体"/>
                <w:szCs w:val="24"/>
              </w:rPr>
            </w:pPr>
            <w:r>
              <w:rPr>
                <w:rFonts w:hint="eastAsia" w:hAnsi="宋体" w:cs="宋体"/>
                <w:szCs w:val="24"/>
              </w:rPr>
              <w:t>工程质量保修期</w:t>
            </w:r>
          </w:p>
          <w:p>
            <w:pPr>
              <w:pStyle w:val="13"/>
              <w:adjustRightInd w:val="0"/>
              <w:snapToGrid w:val="0"/>
              <w:spacing w:line="360" w:lineRule="auto"/>
              <w:jc w:val="left"/>
              <w:rPr>
                <w:rFonts w:hAnsi="宋体" w:cs="宋体"/>
                <w:szCs w:val="24"/>
              </w:rPr>
            </w:pPr>
            <w:r>
              <w:rPr>
                <w:rFonts w:hint="eastAsia" w:hAnsi="宋体" w:cs="宋体"/>
                <w:szCs w:val="24"/>
              </w:rPr>
              <w:t>（</w:t>
            </w:r>
            <w:r>
              <w:rPr>
                <w:rFonts w:hint="eastAsia" w:hAnsi="宋体" w:cs="宋体"/>
              </w:rPr>
              <w:t>缺陷责任期</w:t>
            </w:r>
            <w:r>
              <w:rPr>
                <w:rFonts w:hint="eastAsia" w:hAnsi="宋体" w:cs="宋体"/>
                <w:szCs w:val="24"/>
              </w:rPr>
              <w:t>）</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24 个月，起始日期为工程竣工验收合格之日起开始计算。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06" w:hRule="atLeas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29</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pStyle w:val="13"/>
              <w:adjustRightInd w:val="0"/>
              <w:snapToGrid w:val="0"/>
              <w:spacing w:line="360" w:lineRule="auto"/>
              <w:jc w:val="left"/>
              <w:rPr>
                <w:rFonts w:hAnsi="宋体" w:cs="宋体"/>
                <w:szCs w:val="24"/>
              </w:rPr>
            </w:pPr>
            <w:r>
              <w:rPr>
                <w:rFonts w:hint="eastAsia" w:hAnsi="宋体" w:cs="宋体"/>
                <w:szCs w:val="24"/>
              </w:rPr>
              <w:t>付款方式</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pStyle w:val="13"/>
              <w:adjustRightInd w:val="0"/>
              <w:snapToGrid w:val="0"/>
              <w:spacing w:line="360" w:lineRule="auto"/>
              <w:jc w:val="left"/>
              <w:rPr>
                <w:rFonts w:hAnsi="宋体" w:cs="宋体"/>
                <w:szCs w:val="24"/>
              </w:rPr>
            </w:pPr>
            <w:r>
              <w:rPr>
                <w:rFonts w:hint="eastAsia" w:hAnsi="宋体" w:cs="宋体"/>
                <w:b/>
                <w:bCs/>
                <w:color w:val="FF0000"/>
                <w:szCs w:val="24"/>
              </w:rPr>
              <w:t>工程按月完成工程量支付中标合同价格的60%，竣工验收合格并取得验收证书或文件后付至中标合同价的80%，结算审计后付至审计价的95%，剩余的5%为质保金，质量责任缺陷期满后（工程无任何问题）无息支付。</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855" w:hRule="exac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30</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工期要求</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本项目工期</w:t>
            </w:r>
            <w:r>
              <w:rPr>
                <w:rFonts w:hint="eastAsia" w:ascii="宋体" w:hAnsi="宋体" w:cs="宋体"/>
                <w:sz w:val="24"/>
                <w:lang w:val="en-US" w:eastAsia="zh-CN"/>
              </w:rPr>
              <w:t>9</w:t>
            </w:r>
            <w:r>
              <w:rPr>
                <w:rFonts w:hint="eastAsia" w:ascii="宋体" w:hAnsi="宋体" w:cs="宋体"/>
                <w:sz w:val="24"/>
              </w:rPr>
              <w:t>0日历天，严格执行招标文件确定的期限。违背工期管理的，将按合同专用条款及专用条款的补充条款进行处理。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8364" w:hRule="exac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31</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围、串标行为认定</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在项目开评标过程中，有下列情形之一的，评标委员会应依法否决相应的投标，并将具体情况报告招投标监督管理机关，依法进行处理。</w:t>
            </w:r>
          </w:p>
          <w:p>
            <w:pPr>
              <w:adjustRightInd w:val="0"/>
              <w:snapToGrid w:val="0"/>
              <w:spacing w:line="360" w:lineRule="auto"/>
              <w:jc w:val="left"/>
              <w:rPr>
                <w:rFonts w:ascii="宋体" w:hAnsi="宋体" w:cs="宋体"/>
                <w:sz w:val="24"/>
              </w:rPr>
            </w:pPr>
            <w:r>
              <w:rPr>
                <w:rFonts w:hint="eastAsia" w:ascii="宋体" w:hAnsi="宋体" w:cs="宋体"/>
                <w:sz w:val="24"/>
              </w:rPr>
              <w:t>（1）投标人之间协商投标报价等投标文件的实质性内容；</w:t>
            </w:r>
          </w:p>
          <w:p>
            <w:pPr>
              <w:adjustRightInd w:val="0"/>
              <w:snapToGrid w:val="0"/>
              <w:spacing w:line="360" w:lineRule="auto"/>
              <w:jc w:val="left"/>
              <w:rPr>
                <w:rFonts w:ascii="宋体" w:hAnsi="宋体" w:cs="宋体"/>
                <w:sz w:val="24"/>
              </w:rPr>
            </w:pPr>
            <w:r>
              <w:rPr>
                <w:rFonts w:hint="eastAsia" w:ascii="宋体" w:hAnsi="宋体" w:cs="宋体"/>
                <w:sz w:val="24"/>
              </w:rPr>
              <w:t>（2）投标人之间约定中标人；</w:t>
            </w:r>
          </w:p>
          <w:p>
            <w:pPr>
              <w:adjustRightInd w:val="0"/>
              <w:snapToGrid w:val="0"/>
              <w:spacing w:line="360" w:lineRule="auto"/>
              <w:jc w:val="left"/>
              <w:rPr>
                <w:rFonts w:ascii="宋体" w:hAnsi="宋体" w:cs="宋体"/>
                <w:sz w:val="24"/>
              </w:rPr>
            </w:pPr>
            <w:r>
              <w:rPr>
                <w:rFonts w:hint="eastAsia" w:ascii="宋体" w:hAnsi="宋体" w:cs="宋体"/>
                <w:sz w:val="24"/>
              </w:rPr>
              <w:t>（3）投标人之间约定部分投标人放弃投标或者中标；</w:t>
            </w:r>
          </w:p>
          <w:p>
            <w:pPr>
              <w:adjustRightInd w:val="0"/>
              <w:snapToGrid w:val="0"/>
              <w:spacing w:line="360" w:lineRule="auto"/>
              <w:jc w:val="left"/>
              <w:rPr>
                <w:rFonts w:ascii="宋体" w:hAnsi="宋体" w:cs="宋体"/>
                <w:sz w:val="24"/>
              </w:rPr>
            </w:pPr>
            <w:r>
              <w:rPr>
                <w:rFonts w:hint="eastAsia" w:ascii="宋体" w:hAnsi="宋体" w:cs="宋体"/>
                <w:sz w:val="24"/>
              </w:rPr>
              <w:t>（4）属于同一集团、协会、商会等组织成员的投标人按照该组织要求协同投标；</w:t>
            </w:r>
          </w:p>
          <w:p>
            <w:pPr>
              <w:adjustRightInd w:val="0"/>
              <w:snapToGrid w:val="0"/>
              <w:spacing w:line="360" w:lineRule="auto"/>
              <w:jc w:val="left"/>
              <w:rPr>
                <w:rFonts w:ascii="宋体" w:hAnsi="宋体" w:cs="宋体"/>
                <w:sz w:val="24"/>
              </w:rPr>
            </w:pPr>
            <w:r>
              <w:rPr>
                <w:rFonts w:hint="eastAsia" w:ascii="宋体" w:hAnsi="宋体" w:cs="宋体"/>
                <w:sz w:val="24"/>
              </w:rPr>
              <w:t>（5）投标人之间为谋取中标或者排斥特定投标人而采取的其他联合行动；</w:t>
            </w:r>
          </w:p>
          <w:p>
            <w:pPr>
              <w:adjustRightInd w:val="0"/>
              <w:snapToGrid w:val="0"/>
              <w:spacing w:line="360" w:lineRule="auto"/>
              <w:jc w:val="left"/>
              <w:rPr>
                <w:rFonts w:ascii="宋体" w:hAnsi="宋体" w:cs="宋体"/>
                <w:sz w:val="24"/>
              </w:rPr>
            </w:pPr>
            <w:r>
              <w:rPr>
                <w:rFonts w:hint="eastAsia" w:ascii="宋体" w:hAnsi="宋体" w:cs="宋体"/>
                <w:sz w:val="24"/>
              </w:rPr>
              <w:t>（6）不同投标人的投标文件由同一单位或者个人编制；</w:t>
            </w:r>
          </w:p>
          <w:p>
            <w:pPr>
              <w:adjustRightInd w:val="0"/>
              <w:snapToGrid w:val="0"/>
              <w:spacing w:line="360" w:lineRule="auto"/>
              <w:jc w:val="left"/>
              <w:rPr>
                <w:rFonts w:ascii="宋体" w:hAnsi="宋体" w:cs="宋体"/>
                <w:sz w:val="24"/>
              </w:rPr>
            </w:pPr>
            <w:r>
              <w:rPr>
                <w:rFonts w:hint="eastAsia" w:ascii="宋体" w:hAnsi="宋体" w:cs="宋体"/>
                <w:sz w:val="24"/>
              </w:rPr>
              <w:t>（7）不同投标人委托同一单位或者个人办理投标事宜；</w:t>
            </w:r>
          </w:p>
          <w:p>
            <w:pPr>
              <w:adjustRightInd w:val="0"/>
              <w:snapToGrid w:val="0"/>
              <w:spacing w:line="360" w:lineRule="auto"/>
              <w:jc w:val="left"/>
              <w:rPr>
                <w:rFonts w:ascii="宋体" w:hAnsi="宋体" w:cs="宋体"/>
                <w:sz w:val="24"/>
              </w:rPr>
            </w:pPr>
            <w:r>
              <w:rPr>
                <w:rFonts w:hint="eastAsia" w:ascii="宋体" w:hAnsi="宋体" w:cs="宋体"/>
                <w:sz w:val="24"/>
              </w:rPr>
              <w:t>（8）不同投标人的投标文件载明的项目管理成员为同一人；</w:t>
            </w:r>
          </w:p>
          <w:p>
            <w:pPr>
              <w:adjustRightInd w:val="0"/>
              <w:snapToGrid w:val="0"/>
              <w:spacing w:line="360" w:lineRule="auto"/>
              <w:jc w:val="left"/>
              <w:rPr>
                <w:rFonts w:ascii="宋体" w:hAnsi="宋体" w:cs="宋体"/>
                <w:sz w:val="24"/>
              </w:rPr>
            </w:pPr>
            <w:r>
              <w:rPr>
                <w:rFonts w:hint="eastAsia" w:ascii="宋体" w:hAnsi="宋体" w:cs="宋体"/>
                <w:sz w:val="24"/>
              </w:rPr>
              <w:t>（9）不同投标人的投标文件异常一致或者投标报价呈规律性差异；</w:t>
            </w:r>
          </w:p>
          <w:p>
            <w:pPr>
              <w:adjustRightInd w:val="0"/>
              <w:snapToGrid w:val="0"/>
              <w:spacing w:line="360" w:lineRule="auto"/>
              <w:jc w:val="left"/>
              <w:rPr>
                <w:rFonts w:ascii="宋体" w:hAnsi="宋体" w:cs="宋体"/>
                <w:sz w:val="24"/>
              </w:rPr>
            </w:pPr>
            <w:r>
              <w:rPr>
                <w:rFonts w:hint="eastAsia" w:ascii="宋体" w:hAnsi="宋体" w:cs="宋体"/>
                <w:sz w:val="24"/>
              </w:rPr>
              <w:t>（10）不同投标人的投标文件相互混装；</w:t>
            </w:r>
          </w:p>
          <w:p>
            <w:pPr>
              <w:adjustRightInd w:val="0"/>
              <w:snapToGrid w:val="0"/>
              <w:spacing w:line="360" w:lineRule="auto"/>
              <w:jc w:val="left"/>
              <w:rPr>
                <w:rFonts w:ascii="宋体" w:hAnsi="宋体" w:cs="宋体"/>
                <w:sz w:val="24"/>
              </w:rPr>
            </w:pPr>
            <w:r>
              <w:rPr>
                <w:rFonts w:hint="eastAsia" w:ascii="宋体" w:hAnsi="宋体" w:cs="宋体"/>
                <w:sz w:val="24"/>
              </w:rPr>
              <w:t>（11）不同投标人的投标保证金从同一单位或者个人的账户转出；</w:t>
            </w:r>
          </w:p>
          <w:p>
            <w:pPr>
              <w:adjustRightInd w:val="0"/>
              <w:snapToGrid w:val="0"/>
              <w:spacing w:line="360" w:lineRule="auto"/>
              <w:jc w:val="left"/>
              <w:rPr>
                <w:rFonts w:ascii="宋体" w:hAnsi="宋体" w:cs="宋体"/>
                <w:sz w:val="24"/>
              </w:rPr>
            </w:pPr>
            <w:r>
              <w:rPr>
                <w:rFonts w:hint="eastAsia" w:ascii="宋体" w:hAnsi="宋体" w:cs="宋体"/>
                <w:sz w:val="24"/>
              </w:rPr>
              <w:t>（12）投标人投标报价与公布的控制价相比降幅过小，明显缺乏竞争性，有围标、串标嫌疑的。</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1966" w:hRule="exac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32</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其他要求说明</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numPr>
                <w:ilvl w:val="0"/>
                <w:numId w:val="4"/>
              </w:numPr>
              <w:adjustRightInd w:val="0"/>
              <w:snapToGrid w:val="0"/>
              <w:spacing w:line="360" w:lineRule="auto"/>
              <w:jc w:val="left"/>
            </w:pPr>
            <w:r>
              <w:rPr>
                <w:rFonts w:hint="eastAsia"/>
              </w:rPr>
              <w:t>已缴纳投标保证金的投标人放弃投标，因其放弃投标，导致投标人少于3家引起招标失败的，该投标人不得再参加此项目的投标。</w:t>
            </w:r>
          </w:p>
          <w:p>
            <w:pPr>
              <w:adjustRightInd w:val="0"/>
              <w:snapToGrid w:val="0"/>
              <w:spacing w:line="360" w:lineRule="auto"/>
              <w:jc w:val="left"/>
              <w:rPr>
                <w:rFonts w:eastAsia="黑体"/>
              </w:rPr>
            </w:pPr>
            <w:r>
              <w:rPr>
                <w:rFonts w:hint="eastAsia"/>
              </w:rPr>
              <w:t>2.本招标文件的解释权在招标人。.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3806" w:hRule="exact"/>
          <w:jc w:val="center"/>
        </w:trPr>
        <w:tc>
          <w:tcPr>
            <w:tcW w:w="700" w:type="dxa"/>
            <w:tcBorders>
              <w:top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sz w:val="24"/>
              </w:rPr>
            </w:pPr>
            <w:r>
              <w:rPr>
                <w:rFonts w:hint="eastAsia" w:ascii="宋体" w:hAnsi="宋体" w:cs="宋体"/>
                <w:sz w:val="24"/>
              </w:rPr>
              <w:t>33</w:t>
            </w:r>
          </w:p>
        </w:tc>
        <w:tc>
          <w:tcPr>
            <w:tcW w:w="2225"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pPr>
              <w:adjustRightInd w:val="0"/>
              <w:snapToGrid w:val="0"/>
              <w:spacing w:line="360" w:lineRule="auto"/>
              <w:jc w:val="left"/>
              <w:rPr>
                <w:rFonts w:ascii="宋体" w:hAnsi="宋体" w:cs="宋体"/>
                <w:color w:val="FF0000"/>
                <w:sz w:val="24"/>
              </w:rPr>
            </w:pPr>
            <w:r>
              <w:rPr>
                <w:rFonts w:hint="eastAsia" w:ascii="宋体" w:hAnsi="宋体" w:cs="宋体"/>
                <w:color w:val="FF0000"/>
                <w:sz w:val="24"/>
              </w:rPr>
              <w:t>注意事项</w:t>
            </w:r>
          </w:p>
        </w:tc>
        <w:tc>
          <w:tcPr>
            <w:tcW w:w="7037" w:type="dxa"/>
            <w:tcBorders>
              <w:top w:val="single" w:color="auto" w:sz="4" w:space="0"/>
              <w:left w:val="single" w:color="auto" w:sz="4" w:space="0"/>
              <w:bottom w:val="single" w:color="auto" w:sz="4" w:space="0"/>
            </w:tcBorders>
            <w:tcMar>
              <w:top w:w="0" w:type="dxa"/>
              <w:left w:w="108" w:type="dxa"/>
              <w:bottom w:w="0" w:type="dxa"/>
              <w:right w:w="108" w:type="dxa"/>
            </w:tcMar>
            <w:vAlign w:val="center"/>
          </w:tcPr>
          <w:p>
            <w:pPr>
              <w:adjustRightInd w:val="0"/>
              <w:snapToGrid w:val="0"/>
              <w:spacing w:line="360" w:lineRule="auto"/>
              <w:jc w:val="left"/>
              <w:rPr>
                <w:color w:val="FF0000"/>
              </w:rPr>
            </w:pPr>
            <w:r>
              <w:rPr>
                <w:rFonts w:hint="eastAsia" w:ascii="宋体" w:hAnsi="宋体" w:cs="宋体"/>
                <w:color w:val="FF0000"/>
                <w:sz w:val="24"/>
              </w:rPr>
              <w:t>投标人依据施工图等资料对清单工程量提出异议的，必须附计算书并提出，由招标人复核并向所有投标人答复。不能提供计算书的，招标人对此异议不予受理，以后也不再调整工程量。工程量清单误差±3%以内的，招标人可不予调整，投标人自行在投标报价内考虑。工程量清单误差超过±3%的，由招标人调整并在发布调整结果。无任何投标人依据发布的施工图等资料对清单工程量提出异议和计算书的，即使以后提出，也不予调整。</w:t>
            </w:r>
          </w:p>
        </w:tc>
      </w:tr>
    </w:tbl>
    <w:p>
      <w:pPr>
        <w:pStyle w:val="3"/>
        <w:adjustRightInd w:val="0"/>
        <w:snapToGrid w:val="0"/>
        <w:spacing w:line="360" w:lineRule="auto"/>
        <w:ind w:left="423" w:leftChars="200" w:hanging="3"/>
        <w:jc w:val="left"/>
        <w:rPr>
          <w:rFonts w:ascii="宋体" w:hAnsi="宋体" w:eastAsia="宋体" w:cs="宋体"/>
          <w:sz w:val="24"/>
          <w:szCs w:val="24"/>
        </w:rPr>
      </w:pPr>
      <w:bookmarkStart w:id="9" w:name="_Toc6310"/>
      <w:bookmarkStart w:id="10" w:name="_Toc5366"/>
      <w:bookmarkStart w:id="11" w:name="_Toc9926"/>
      <w:r>
        <w:rPr>
          <w:rFonts w:hint="eastAsia" w:ascii="宋体" w:hAnsi="宋体" w:eastAsia="宋体" w:cs="宋体"/>
          <w:sz w:val="24"/>
          <w:szCs w:val="24"/>
        </w:rPr>
        <w:t>（二）总则</w:t>
      </w:r>
      <w:bookmarkEnd w:id="6"/>
      <w:bookmarkEnd w:id="7"/>
      <w:bookmarkEnd w:id="9"/>
      <w:bookmarkEnd w:id="10"/>
      <w:bookmarkEnd w:id="11"/>
    </w:p>
    <w:p>
      <w:pPr>
        <w:numPr>
          <w:ilvl w:val="0"/>
          <w:numId w:val="5"/>
        </w:numPr>
        <w:adjustRightInd w:val="0"/>
        <w:snapToGrid w:val="0"/>
        <w:spacing w:line="360" w:lineRule="auto"/>
        <w:ind w:left="423" w:leftChars="200" w:hanging="3"/>
        <w:rPr>
          <w:rFonts w:ascii="宋体" w:hAnsi="宋体" w:cs="宋体"/>
          <w:b/>
          <w:sz w:val="24"/>
        </w:rPr>
      </w:pPr>
      <w:r>
        <w:rPr>
          <w:rFonts w:hint="eastAsia" w:ascii="宋体" w:hAnsi="宋体" w:cs="宋体"/>
          <w:b/>
          <w:sz w:val="24"/>
        </w:rPr>
        <w:t>说明、招标方式、资金来源及质量要求</w:t>
      </w:r>
    </w:p>
    <w:p>
      <w:pPr>
        <w:adjustRightInd w:val="0"/>
        <w:snapToGrid w:val="0"/>
        <w:spacing w:beforeLines="20" w:afterLines="20" w:line="360" w:lineRule="auto"/>
        <w:ind w:left="423" w:leftChars="200" w:hanging="3"/>
        <w:rPr>
          <w:rFonts w:ascii="宋体" w:hAnsi="宋体" w:cs="宋体"/>
          <w:sz w:val="24"/>
        </w:rPr>
      </w:pPr>
      <w:r>
        <w:rPr>
          <w:rFonts w:hint="eastAsia" w:ascii="宋体" w:hAnsi="宋体" w:cs="宋体"/>
          <w:sz w:val="24"/>
        </w:rPr>
        <w:t>1.1本招标项目说明详见本须知前附表；</w:t>
      </w:r>
    </w:p>
    <w:p>
      <w:pPr>
        <w:adjustRightInd w:val="0"/>
        <w:snapToGrid w:val="0"/>
        <w:spacing w:beforeLines="20" w:afterLines="20" w:line="360" w:lineRule="auto"/>
        <w:ind w:left="423" w:leftChars="200" w:hanging="3"/>
        <w:rPr>
          <w:rFonts w:ascii="宋体" w:hAnsi="宋体" w:cs="宋体"/>
          <w:sz w:val="24"/>
        </w:rPr>
      </w:pPr>
      <w:r>
        <w:rPr>
          <w:rFonts w:hint="eastAsia" w:ascii="宋体" w:hAnsi="宋体" w:cs="宋体"/>
          <w:sz w:val="24"/>
        </w:rPr>
        <w:t>1.2招标方式：</w:t>
      </w:r>
      <w:r>
        <w:rPr>
          <w:rFonts w:hint="eastAsia" w:ascii="宋体" w:hAnsi="宋体" w:cs="宋体"/>
          <w:b/>
          <w:bCs/>
          <w:sz w:val="24"/>
          <w:u w:val="single"/>
        </w:rPr>
        <w:t>公开招标</w:t>
      </w:r>
      <w:r>
        <w:rPr>
          <w:rFonts w:hint="eastAsia" w:ascii="宋体" w:hAnsi="宋体" w:cs="宋体"/>
          <w:sz w:val="24"/>
        </w:rPr>
        <w:t>；</w:t>
      </w:r>
    </w:p>
    <w:p>
      <w:pPr>
        <w:adjustRightInd w:val="0"/>
        <w:snapToGrid w:val="0"/>
        <w:spacing w:beforeLines="20" w:afterLines="20" w:line="360" w:lineRule="auto"/>
        <w:ind w:left="423" w:leftChars="200" w:hanging="3"/>
        <w:rPr>
          <w:rFonts w:ascii="宋体" w:hAnsi="宋体" w:cs="宋体"/>
          <w:sz w:val="24"/>
        </w:rPr>
      </w:pPr>
      <w:r>
        <w:rPr>
          <w:rFonts w:hint="eastAsia" w:ascii="宋体" w:hAnsi="宋体" w:cs="宋体"/>
          <w:sz w:val="24"/>
        </w:rPr>
        <w:t>1.3资金来源见本须知前附表。</w:t>
      </w:r>
    </w:p>
    <w:p>
      <w:pPr>
        <w:numPr>
          <w:ilvl w:val="0"/>
          <w:numId w:val="5"/>
        </w:numPr>
        <w:adjustRightInd w:val="0"/>
        <w:snapToGrid w:val="0"/>
        <w:spacing w:line="360" w:lineRule="auto"/>
        <w:ind w:left="423" w:leftChars="200" w:hanging="3"/>
        <w:rPr>
          <w:rFonts w:ascii="宋体" w:hAnsi="宋体" w:cs="宋体"/>
          <w:b/>
          <w:sz w:val="24"/>
        </w:rPr>
      </w:pPr>
      <w:r>
        <w:rPr>
          <w:rFonts w:hint="eastAsia" w:ascii="宋体" w:hAnsi="宋体" w:cs="宋体"/>
          <w:b/>
          <w:sz w:val="24"/>
        </w:rPr>
        <w:t>踏勘现场、投标费用</w:t>
      </w:r>
    </w:p>
    <w:p>
      <w:pPr>
        <w:pStyle w:val="12"/>
        <w:adjustRightInd w:val="0"/>
        <w:snapToGrid w:val="0"/>
        <w:spacing w:line="360" w:lineRule="auto"/>
        <w:ind w:left="423" w:leftChars="200" w:hanging="3"/>
        <w:rPr>
          <w:rFonts w:hAnsi="宋体" w:cs="宋体"/>
          <w:color w:val="auto"/>
          <w:sz w:val="24"/>
          <w:szCs w:val="24"/>
        </w:rPr>
      </w:pPr>
      <w:r>
        <w:rPr>
          <w:rFonts w:hint="eastAsia" w:hAnsi="宋体" w:cs="宋体"/>
          <w:color w:val="auto"/>
          <w:sz w:val="24"/>
          <w:szCs w:val="24"/>
        </w:rPr>
        <w:t>2.1踏勘现场：招标人不组织踏勘现场。</w:t>
      </w:r>
      <w:r>
        <w:rPr>
          <w:rFonts w:hint="eastAsia" w:hAnsi="宋体" w:cs="宋体"/>
          <w:b/>
          <w:bCs/>
          <w:color w:val="auto"/>
          <w:sz w:val="24"/>
          <w:szCs w:val="24"/>
        </w:rPr>
        <w:t>投标人请务必自行对工程现场及周围环境进行踏勘以获得有关编制投标文件和签署合同所涉及现场的资料。</w:t>
      </w:r>
      <w:r>
        <w:rPr>
          <w:rFonts w:hint="eastAsia" w:hAnsi="宋体" w:cs="宋体"/>
          <w:color w:val="auto"/>
          <w:sz w:val="24"/>
          <w:szCs w:val="24"/>
        </w:rPr>
        <w:t>踏勘现场所发生的自身费用由投标人自己承担。投标人可为踏勘目的进入招标人的项目现场，但投标人不得因此使招标人承担有关的责任和蒙受损失。投标人自行承担踏勘现场的责任和风险。</w:t>
      </w:r>
    </w:p>
    <w:p>
      <w:pPr>
        <w:pStyle w:val="12"/>
        <w:adjustRightInd w:val="0"/>
        <w:snapToGrid w:val="0"/>
        <w:spacing w:line="360" w:lineRule="auto"/>
        <w:ind w:left="423" w:leftChars="200" w:hanging="3"/>
        <w:rPr>
          <w:rFonts w:hAnsi="宋体" w:cs="宋体"/>
          <w:b/>
          <w:color w:val="auto"/>
          <w:sz w:val="24"/>
        </w:rPr>
      </w:pPr>
      <w:r>
        <w:rPr>
          <w:rFonts w:hint="eastAsia" w:hAnsi="宋体" w:cs="宋体"/>
          <w:color w:val="auto"/>
          <w:sz w:val="24"/>
          <w:szCs w:val="24"/>
        </w:rPr>
        <w:t>2.2投标费用：投标人应承担其编制投标文件与递交投标文件等投标过程中所涉及的一切费用，不论投标结果如何，招标人将不予承担。</w:t>
      </w:r>
    </w:p>
    <w:p>
      <w:pPr>
        <w:pStyle w:val="3"/>
        <w:adjustRightInd w:val="0"/>
        <w:snapToGrid w:val="0"/>
        <w:spacing w:line="360" w:lineRule="auto"/>
        <w:ind w:left="423" w:leftChars="200" w:hanging="3"/>
        <w:jc w:val="left"/>
        <w:rPr>
          <w:rFonts w:ascii="宋体" w:hAnsi="宋体" w:eastAsia="宋体" w:cs="宋体"/>
          <w:sz w:val="24"/>
          <w:szCs w:val="24"/>
        </w:rPr>
      </w:pPr>
      <w:bookmarkStart w:id="12" w:name="_Toc4190"/>
      <w:bookmarkStart w:id="13" w:name="_Toc31451"/>
      <w:bookmarkStart w:id="14" w:name="_Toc463678575"/>
      <w:bookmarkStart w:id="15" w:name="_Toc29661"/>
      <w:bookmarkStart w:id="16" w:name="_Toc468208426"/>
      <w:r>
        <w:rPr>
          <w:rFonts w:hint="eastAsia" w:ascii="宋体" w:hAnsi="宋体" w:eastAsia="宋体" w:cs="宋体"/>
          <w:sz w:val="24"/>
          <w:szCs w:val="24"/>
        </w:rPr>
        <w:t>（三）招标文件</w:t>
      </w:r>
      <w:bookmarkEnd w:id="12"/>
      <w:bookmarkEnd w:id="13"/>
      <w:bookmarkEnd w:id="14"/>
      <w:bookmarkEnd w:id="15"/>
      <w:bookmarkEnd w:id="16"/>
    </w:p>
    <w:p>
      <w:pPr>
        <w:numPr>
          <w:ilvl w:val="0"/>
          <w:numId w:val="5"/>
        </w:numPr>
        <w:adjustRightInd w:val="0"/>
        <w:snapToGrid w:val="0"/>
        <w:spacing w:line="360" w:lineRule="auto"/>
        <w:ind w:left="423" w:leftChars="200" w:hanging="3"/>
        <w:rPr>
          <w:rFonts w:ascii="宋体" w:hAnsi="宋体" w:cs="宋体"/>
          <w:b/>
          <w:sz w:val="24"/>
        </w:rPr>
      </w:pPr>
      <w:r>
        <w:rPr>
          <w:rFonts w:hint="eastAsia" w:ascii="宋体" w:hAnsi="宋体" w:cs="宋体"/>
          <w:b/>
          <w:sz w:val="24"/>
        </w:rPr>
        <w:t>招标文件组成</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3.1招标文件包括：</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3.1.1本招标文件的全部内容；</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3.1.2投标答疑文件及通知。</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3.2本项目资格审查文件（若有）也为招标文件的组成部分。</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3.3投标人获取招标文件后，应仔细检查招标文件的所有内容，如有残缺等问题应在获得招标文件2日内向招标人提出，否则，由此引起的损失由投标人自己承担。投标人同时应认真审阅招标文件中所有的事项、格式、条款和规范要求等，若投标人的投标文件没有按招标文件要求提交全部资料或由于自己理解产生的误差，或投标文件没有对招标文件做出实质性响应，其风险由投标人自行承担，同时根据有关条款规定，该投标有可能被拒绝。</w:t>
      </w:r>
    </w:p>
    <w:p>
      <w:pPr>
        <w:numPr>
          <w:ilvl w:val="0"/>
          <w:numId w:val="5"/>
        </w:numPr>
        <w:adjustRightInd w:val="0"/>
        <w:snapToGrid w:val="0"/>
        <w:spacing w:line="360" w:lineRule="auto"/>
        <w:ind w:left="423" w:leftChars="200" w:hanging="3"/>
        <w:rPr>
          <w:rFonts w:ascii="宋体" w:hAnsi="宋体" w:cs="宋体"/>
          <w:b/>
          <w:sz w:val="24"/>
        </w:rPr>
      </w:pPr>
      <w:r>
        <w:rPr>
          <w:rFonts w:hint="eastAsia" w:ascii="宋体" w:hAnsi="宋体" w:cs="宋体"/>
          <w:b/>
          <w:sz w:val="24"/>
        </w:rPr>
        <w:t>招标文件的澄清</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4.1投标人若对招标文件有任何疑问，应按规定的时间向招标人提出澄清要求。无论是招标人根据需要主动对招标文件进行必要的澄清，或是根据投标人的要求对招标文件做出澄清，招标人都将按规定的时间向所有投标人发布。该澄清文件作为招标文件的组成部分，具有约束作用。</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4.2投标疑问送达地址：中经国际招标集团有限公司</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领取投标答疑地址：中经国际招标集团有限公司</w:t>
      </w:r>
    </w:p>
    <w:p>
      <w:pPr>
        <w:numPr>
          <w:ilvl w:val="0"/>
          <w:numId w:val="5"/>
        </w:numPr>
        <w:adjustRightInd w:val="0"/>
        <w:snapToGrid w:val="0"/>
        <w:spacing w:line="360" w:lineRule="auto"/>
        <w:ind w:left="423" w:leftChars="200" w:hanging="3"/>
        <w:rPr>
          <w:rFonts w:ascii="宋体" w:hAnsi="宋体" w:cs="宋体"/>
          <w:b/>
          <w:sz w:val="24"/>
        </w:rPr>
      </w:pPr>
      <w:r>
        <w:rPr>
          <w:rFonts w:hint="eastAsia" w:ascii="宋体" w:hAnsi="宋体" w:cs="宋体"/>
          <w:b/>
          <w:sz w:val="24"/>
        </w:rPr>
        <w:t>招标文件的修改</w:t>
      </w:r>
    </w:p>
    <w:p>
      <w:pPr>
        <w:adjustRightInd w:val="0"/>
        <w:snapToGrid w:val="0"/>
        <w:spacing w:beforeLines="20" w:afterLines="20" w:line="360" w:lineRule="auto"/>
        <w:ind w:left="423" w:leftChars="200" w:hanging="3"/>
        <w:rPr>
          <w:rFonts w:ascii="宋体" w:hAnsi="宋体" w:cs="宋体"/>
          <w:sz w:val="24"/>
        </w:rPr>
      </w:pPr>
      <w:r>
        <w:rPr>
          <w:rFonts w:hint="eastAsia" w:ascii="宋体" w:hAnsi="宋体" w:cs="宋体"/>
          <w:sz w:val="24"/>
        </w:rPr>
        <w:t xml:space="preserve">    5.1招标文件发出后，招标人可对招标文件进行必要的修改。</w:t>
      </w:r>
    </w:p>
    <w:p>
      <w:pPr>
        <w:adjustRightInd w:val="0"/>
        <w:snapToGrid w:val="0"/>
        <w:spacing w:beforeLines="20" w:afterLines="20" w:line="360" w:lineRule="auto"/>
        <w:ind w:left="423" w:leftChars="200" w:hanging="3"/>
        <w:rPr>
          <w:rFonts w:ascii="宋体" w:hAnsi="宋体" w:cs="宋体"/>
          <w:sz w:val="24"/>
        </w:rPr>
      </w:pPr>
      <w:r>
        <w:rPr>
          <w:rFonts w:hint="eastAsia" w:ascii="宋体" w:hAnsi="宋体" w:cs="宋体"/>
          <w:sz w:val="24"/>
        </w:rPr>
        <w:t>5.2招标文件的修改内容经备案后告知所有投标人。招标文件的修改内容作为招标文件的组成部分，具有约束作用。</w:t>
      </w:r>
    </w:p>
    <w:p>
      <w:pPr>
        <w:adjustRightInd w:val="0"/>
        <w:snapToGrid w:val="0"/>
        <w:spacing w:beforeLines="20" w:afterLines="20" w:line="360" w:lineRule="auto"/>
        <w:ind w:left="423" w:leftChars="200" w:hanging="3"/>
        <w:rPr>
          <w:rFonts w:ascii="宋体" w:hAnsi="宋体" w:cs="宋体"/>
          <w:sz w:val="24"/>
        </w:rPr>
      </w:pPr>
      <w:r>
        <w:rPr>
          <w:rFonts w:hint="eastAsia" w:ascii="宋体" w:hAnsi="宋体" w:cs="宋体"/>
          <w:sz w:val="24"/>
        </w:rPr>
        <w:t>5.3 招标文件的澄清、修改、补充等内容均以备案内容为准。当招标文件、招标文件的澄清、修改、补充等在同一内容的表述上不一致时，以最后发出的内容为准。</w:t>
      </w:r>
    </w:p>
    <w:p>
      <w:pPr>
        <w:adjustRightInd w:val="0"/>
        <w:snapToGrid w:val="0"/>
        <w:spacing w:beforeLines="20" w:afterLines="20" w:line="360" w:lineRule="auto"/>
        <w:ind w:left="423" w:leftChars="200" w:hanging="3"/>
        <w:rPr>
          <w:rFonts w:ascii="宋体" w:hAnsi="宋体" w:cs="宋体"/>
          <w:sz w:val="24"/>
        </w:rPr>
      </w:pPr>
      <w:r>
        <w:rPr>
          <w:rFonts w:hint="eastAsia" w:ascii="宋体" w:hAnsi="宋体" w:cs="宋体"/>
          <w:sz w:val="24"/>
        </w:rPr>
        <w:t>5.4为使投标人在编制投标文件时有充分的时间对招标文件的澄清、修改、补充等内容进行研究，招标人将酌情延长提交投标文件的截止时间，具体时间将在招标文件的修改、补充通知中予以明确并在告知所有投标人。</w:t>
      </w:r>
    </w:p>
    <w:p>
      <w:pPr>
        <w:adjustRightInd w:val="0"/>
        <w:snapToGrid w:val="0"/>
        <w:spacing w:beforeLines="20" w:afterLines="20" w:line="360" w:lineRule="auto"/>
        <w:ind w:left="423" w:leftChars="200" w:hanging="3"/>
        <w:rPr>
          <w:rFonts w:ascii="宋体" w:hAnsi="宋体" w:cs="宋体"/>
          <w:sz w:val="24"/>
        </w:rPr>
      </w:pPr>
      <w:r>
        <w:rPr>
          <w:rFonts w:hint="eastAsia" w:ascii="宋体" w:hAnsi="宋体" w:cs="宋体"/>
          <w:sz w:val="24"/>
        </w:rPr>
        <w:t>5.5如果投标人在答疑截止时间前，未对招标文件有关条款提出质疑，视为充分理解招标文件所有内容，一旦递交投标文件，则认为该投标人接受招标文件所有条款。</w:t>
      </w:r>
    </w:p>
    <w:p>
      <w:pPr>
        <w:adjustRightInd w:val="0"/>
        <w:snapToGrid w:val="0"/>
        <w:spacing w:beforeLines="20" w:afterLines="20" w:line="360" w:lineRule="auto"/>
        <w:ind w:left="423" w:leftChars="200" w:hanging="3"/>
        <w:rPr>
          <w:rFonts w:ascii="宋体" w:hAnsi="宋体" w:cs="宋体"/>
          <w:sz w:val="24"/>
        </w:rPr>
      </w:pPr>
      <w:r>
        <w:rPr>
          <w:rFonts w:hint="eastAsia" w:ascii="宋体" w:hAnsi="宋体" w:cs="宋体"/>
          <w:sz w:val="24"/>
        </w:rPr>
        <w:t>5.6招标人对投标人提出的问题将以书面答疑的方式予以答复，答复仅包括对问题的解释，但不说明问题的来源。</w:t>
      </w:r>
    </w:p>
    <w:p>
      <w:pPr>
        <w:adjustRightInd w:val="0"/>
        <w:snapToGrid w:val="0"/>
        <w:spacing w:beforeLines="20" w:afterLines="20" w:line="360" w:lineRule="auto"/>
        <w:ind w:left="423" w:leftChars="200" w:hanging="3"/>
        <w:rPr>
          <w:rFonts w:ascii="宋体" w:hAnsi="宋体" w:cs="宋体"/>
          <w:sz w:val="24"/>
        </w:rPr>
      </w:pPr>
      <w:r>
        <w:rPr>
          <w:rFonts w:hint="eastAsia" w:ascii="宋体" w:hAnsi="宋体" w:cs="宋体"/>
          <w:sz w:val="24"/>
        </w:rPr>
        <w:t>5.7书面答复、补充通知或答疑纪要将按招标文件规定的时间内告知所有投标人。书面答复或答疑纪要必须报备案并作为招标文件的组成部分，具有约束作用。</w:t>
      </w:r>
    </w:p>
    <w:p>
      <w:pPr>
        <w:pStyle w:val="3"/>
        <w:adjustRightInd w:val="0"/>
        <w:snapToGrid w:val="0"/>
        <w:spacing w:line="360" w:lineRule="auto"/>
        <w:ind w:left="423" w:leftChars="200" w:hanging="3"/>
        <w:jc w:val="left"/>
        <w:rPr>
          <w:rFonts w:ascii="宋体" w:hAnsi="宋体" w:eastAsia="宋体" w:cs="宋体"/>
          <w:sz w:val="24"/>
          <w:szCs w:val="24"/>
        </w:rPr>
      </w:pPr>
      <w:bookmarkStart w:id="17" w:name="_Toc24335"/>
      <w:bookmarkStart w:id="18" w:name="_Toc16538"/>
      <w:bookmarkStart w:id="19" w:name="_Toc468208427"/>
      <w:bookmarkStart w:id="20" w:name="_Toc463678576"/>
      <w:bookmarkStart w:id="21" w:name="_Toc10960"/>
      <w:r>
        <w:rPr>
          <w:rFonts w:hint="eastAsia" w:ascii="宋体" w:hAnsi="宋体" w:eastAsia="宋体" w:cs="宋体"/>
          <w:sz w:val="24"/>
          <w:szCs w:val="24"/>
        </w:rPr>
        <w:t>（四）投标文件的编制</w:t>
      </w:r>
      <w:bookmarkEnd w:id="17"/>
      <w:bookmarkEnd w:id="18"/>
      <w:bookmarkEnd w:id="19"/>
      <w:bookmarkEnd w:id="20"/>
      <w:bookmarkEnd w:id="21"/>
    </w:p>
    <w:p>
      <w:pPr>
        <w:numPr>
          <w:ilvl w:val="0"/>
          <w:numId w:val="5"/>
        </w:numPr>
        <w:adjustRightInd w:val="0"/>
        <w:snapToGrid w:val="0"/>
        <w:spacing w:line="360" w:lineRule="auto"/>
        <w:ind w:left="423" w:leftChars="200" w:hanging="3"/>
        <w:rPr>
          <w:rFonts w:ascii="宋体" w:hAnsi="宋体" w:cs="宋体"/>
          <w:b/>
          <w:sz w:val="24"/>
        </w:rPr>
      </w:pPr>
      <w:r>
        <w:rPr>
          <w:rFonts w:hint="eastAsia" w:ascii="宋体" w:hAnsi="宋体" w:cs="宋体"/>
          <w:b/>
          <w:sz w:val="24"/>
        </w:rPr>
        <w:t>投标文件的语言及度量衡单位</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6.1投标文件和与投标有关的所有文件均应使用</w:t>
      </w:r>
      <w:r>
        <w:rPr>
          <w:rFonts w:hint="eastAsia" w:ascii="宋体" w:hAnsi="宋体" w:cs="宋体"/>
          <w:sz w:val="24"/>
          <w:u w:val="single"/>
        </w:rPr>
        <w:t xml:space="preserve"> 中文 </w:t>
      </w:r>
      <w:r>
        <w:rPr>
          <w:rFonts w:hint="eastAsia" w:ascii="宋体" w:hAnsi="宋体" w:cs="宋体"/>
          <w:sz w:val="24"/>
        </w:rPr>
        <w:t>(语言文字)。投标人随投标文件提供的证明文件和印刷品可以是其它语言，但必须附有经权威翻译机构核准的中文译文。</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6.2 除技术要求中另有规定外，投标书所使用的度量衡单位均须采用中华人民共和国法定计量单位。</w:t>
      </w:r>
    </w:p>
    <w:p>
      <w:pPr>
        <w:adjustRightInd w:val="0"/>
        <w:snapToGrid w:val="0"/>
        <w:spacing w:line="360" w:lineRule="auto"/>
        <w:ind w:left="423" w:leftChars="200" w:hanging="3"/>
        <w:rPr>
          <w:rFonts w:ascii="宋体" w:hAnsi="宋体" w:cs="宋体"/>
          <w:sz w:val="24"/>
        </w:rPr>
      </w:pPr>
    </w:p>
    <w:p>
      <w:pPr>
        <w:numPr>
          <w:ilvl w:val="0"/>
          <w:numId w:val="5"/>
        </w:numPr>
        <w:adjustRightInd w:val="0"/>
        <w:snapToGrid w:val="0"/>
        <w:spacing w:line="360" w:lineRule="auto"/>
        <w:ind w:left="423" w:leftChars="200" w:hanging="3"/>
        <w:rPr>
          <w:rFonts w:ascii="宋体" w:hAnsi="宋体" w:cs="宋体"/>
          <w:b/>
          <w:sz w:val="24"/>
        </w:rPr>
      </w:pPr>
      <w:r>
        <w:rPr>
          <w:rFonts w:hint="eastAsia" w:ascii="宋体" w:hAnsi="宋体" w:cs="宋体"/>
          <w:b/>
          <w:sz w:val="24"/>
        </w:rPr>
        <w:t>投标文件的组成</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7.1 投标书应包括招标文件规定的全部内容。</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7.2 投标人必须对其投标书的真实性与准确性负责。投标人一旦中标，其投标书将作为合同的重要组成部分。</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7.3 投标人不得擅自对招标文件的格式、条款和技术要求进行修改。否则，其投标书在评标时有可能被认为是未对招标文件做出实质性的响应而终止对其作进一步的评审。</w:t>
      </w:r>
    </w:p>
    <w:p>
      <w:pPr>
        <w:adjustRightInd w:val="0"/>
        <w:snapToGrid w:val="0"/>
        <w:spacing w:line="360" w:lineRule="auto"/>
        <w:ind w:left="423" w:leftChars="200" w:hanging="3"/>
        <w:rPr>
          <w:rFonts w:ascii="宋体" w:hAnsi="宋体" w:cs="宋体"/>
          <w:b/>
          <w:sz w:val="24"/>
        </w:rPr>
      </w:pPr>
      <w:r>
        <w:rPr>
          <w:rFonts w:hint="eastAsia" w:ascii="宋体" w:hAnsi="宋体" w:cs="宋体"/>
          <w:b/>
          <w:sz w:val="24"/>
        </w:rPr>
        <w:t>8、   投标报价</w:t>
      </w:r>
    </w:p>
    <w:p>
      <w:pPr>
        <w:adjustRightInd w:val="0"/>
        <w:snapToGrid w:val="0"/>
        <w:ind w:left="423" w:leftChars="200" w:hanging="3"/>
        <w:rPr>
          <w:rFonts w:ascii="宋体" w:hAnsi="宋体" w:cs="宋体"/>
          <w:sz w:val="24"/>
        </w:rPr>
      </w:pPr>
      <w:r>
        <w:rPr>
          <w:rFonts w:hint="eastAsia" w:ascii="宋体" w:hAnsi="宋体" w:cs="宋体"/>
          <w:sz w:val="24"/>
        </w:rPr>
        <w:t>8.1投标人应按招标范围及工期要求，充分了解现场情况，正确理解设计图纸和招标文件，正确估计工作的难易程度和必须投入的技术力量，确定施工全过程费用。</w:t>
      </w:r>
    </w:p>
    <w:p>
      <w:pPr>
        <w:adjustRightInd w:val="0"/>
        <w:snapToGrid w:val="0"/>
        <w:spacing w:line="360" w:lineRule="auto"/>
        <w:ind w:left="423" w:leftChars="200" w:hanging="3"/>
        <w:rPr>
          <w:rFonts w:ascii="宋体" w:hAnsi="宋体" w:cs="宋体"/>
          <w:sz w:val="24"/>
        </w:rPr>
      </w:pPr>
    </w:p>
    <w:p>
      <w:pPr>
        <w:adjustRightInd w:val="0"/>
        <w:snapToGrid w:val="0"/>
        <w:spacing w:line="360" w:lineRule="auto"/>
        <w:ind w:left="423" w:leftChars="200" w:hanging="3"/>
        <w:rPr>
          <w:rFonts w:hint="eastAsia" w:asciiTheme="minorEastAsia" w:hAnsiTheme="minorEastAsia" w:eastAsiaTheme="minorEastAsia" w:cstheme="minorEastAsia"/>
          <w:color w:val="FF0000"/>
          <w:sz w:val="24"/>
        </w:rPr>
      </w:pPr>
      <w:r>
        <w:rPr>
          <w:rFonts w:hint="eastAsia" w:asciiTheme="minorEastAsia" w:hAnsiTheme="minorEastAsia" w:eastAsiaTheme="minorEastAsia" w:cstheme="minorEastAsia"/>
          <w:sz w:val="24"/>
        </w:rPr>
        <w:t>8.2本项目招标代理服务费和清单及控制价编制费用分别按报酬按照国家计委计价格[2002]1980号、[2011]534号文件及安徽省建设厅、安徽省物价局皖价服[2007]86号文规定的收费标准计取，评标咨询费、场地费等费用均由中标人支付</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color w:val="FF0000"/>
          <w:sz w:val="24"/>
          <w:lang w:eastAsia="zh-CN"/>
        </w:rPr>
        <w:t>中标单位领取中标通知书时一次性支付</w:t>
      </w:r>
      <w:r>
        <w:rPr>
          <w:rFonts w:hint="eastAsia" w:asciiTheme="minorEastAsia" w:hAnsiTheme="minorEastAsia" w:eastAsiaTheme="minorEastAsia" w:cstheme="minorEastAsia"/>
          <w:color w:val="FF0000"/>
          <w:sz w:val="24"/>
          <w:lang w:val="en-US" w:eastAsia="zh-CN"/>
        </w:rPr>
        <w:t>69025元整</w:t>
      </w:r>
      <w:r>
        <w:rPr>
          <w:rFonts w:hint="eastAsia" w:asciiTheme="minorEastAsia" w:hAnsiTheme="minorEastAsia" w:eastAsiaTheme="minorEastAsia" w:cstheme="minorEastAsia"/>
          <w:color w:val="FF0000"/>
          <w:sz w:val="24"/>
        </w:rPr>
        <w:t>。</w:t>
      </w:r>
      <w:r>
        <w:rPr>
          <w:rFonts w:hint="eastAsia" w:asciiTheme="minorEastAsia" w:hAnsiTheme="minorEastAsia" w:eastAsiaTheme="minorEastAsia" w:cstheme="minorEastAsia"/>
          <w:color w:val="FF0000"/>
          <w:sz w:val="24"/>
          <w:lang w:eastAsia="zh-CN"/>
        </w:rPr>
        <w:t>暂按</w:t>
      </w:r>
      <w:r>
        <w:rPr>
          <w:rFonts w:hint="eastAsia" w:asciiTheme="minorEastAsia" w:hAnsiTheme="minorEastAsia" w:eastAsiaTheme="minorEastAsia" w:cstheme="minorEastAsia"/>
          <w:color w:val="FF0000"/>
          <w:sz w:val="24"/>
          <w:lang w:val="en-US" w:eastAsia="zh-CN"/>
        </w:rPr>
        <w:t>646万计算；附计算过程。</w:t>
      </w:r>
    </w:p>
    <w:p>
      <w:pPr>
        <w:jc w:val="both"/>
        <w:rPr>
          <w:rFonts w:hint="eastAsia"/>
          <w:b/>
          <w:bCs/>
          <w:sz w:val="28"/>
          <w:szCs w:val="28"/>
          <w:lang w:val="en-US" w:eastAsia="zh-CN"/>
        </w:rPr>
      </w:pPr>
      <w:r>
        <w:rPr>
          <w:rFonts w:hint="eastAsia"/>
          <w:b/>
          <w:bCs/>
          <w:sz w:val="28"/>
          <w:szCs w:val="28"/>
          <w:lang w:val="en-US" w:eastAsia="zh-CN"/>
        </w:rPr>
        <w:t xml:space="preserve"> 招标代理费用计算过程</w:t>
      </w:r>
    </w:p>
    <w:p>
      <w:pPr>
        <w:jc w:val="both"/>
        <w:rPr>
          <w:rFonts w:hint="eastAsia"/>
          <w:b/>
          <w:bCs/>
          <w:sz w:val="28"/>
          <w:szCs w:val="28"/>
          <w:lang w:val="en-US" w:eastAsia="zh-CN"/>
        </w:rPr>
      </w:pPr>
      <w:r>
        <w:rPr>
          <w:rFonts w:hint="eastAsia"/>
          <w:b/>
          <w:bCs/>
          <w:sz w:val="28"/>
          <w:szCs w:val="28"/>
          <w:lang w:val="en-US" w:eastAsia="zh-CN"/>
        </w:rPr>
        <w:t>中标金额为:646万元</w:t>
      </w:r>
    </w:p>
    <w:p>
      <w:pPr>
        <w:jc w:val="both"/>
        <w:rPr>
          <w:rFonts w:hint="eastAsia"/>
          <w:b w:val="0"/>
          <w:bCs w:val="0"/>
          <w:sz w:val="28"/>
          <w:szCs w:val="28"/>
          <w:lang w:val="en-US" w:eastAsia="zh-CN"/>
        </w:rPr>
      </w:pPr>
      <w:r>
        <w:rPr>
          <w:rFonts w:hint="eastAsia"/>
          <w:b w:val="0"/>
          <w:bCs w:val="0"/>
          <w:sz w:val="28"/>
          <w:szCs w:val="28"/>
          <w:lang w:val="en-US" w:eastAsia="zh-CN"/>
        </w:rPr>
        <w:t>0---100：100×1.000％=10000.000元</w:t>
      </w:r>
    </w:p>
    <w:p>
      <w:pPr>
        <w:jc w:val="both"/>
        <w:rPr>
          <w:rFonts w:hint="eastAsia"/>
          <w:b w:val="0"/>
          <w:bCs w:val="0"/>
          <w:sz w:val="28"/>
          <w:szCs w:val="28"/>
          <w:lang w:val="en-US" w:eastAsia="zh-CN"/>
        </w:rPr>
      </w:pPr>
      <w:r>
        <w:rPr>
          <w:rFonts w:hint="eastAsia"/>
          <w:b w:val="0"/>
          <w:bCs w:val="0"/>
          <w:sz w:val="28"/>
          <w:szCs w:val="28"/>
          <w:lang w:val="en-US" w:eastAsia="zh-CN"/>
        </w:rPr>
        <w:t>100---500：400×0.700％=28000.000元</w:t>
      </w:r>
    </w:p>
    <w:p>
      <w:pPr>
        <w:jc w:val="both"/>
        <w:rPr>
          <w:rFonts w:hint="eastAsia"/>
          <w:b w:val="0"/>
          <w:bCs w:val="0"/>
          <w:sz w:val="28"/>
          <w:szCs w:val="28"/>
          <w:lang w:val="en-US" w:eastAsia="zh-CN"/>
        </w:rPr>
      </w:pPr>
      <w:r>
        <w:rPr>
          <w:rFonts w:hint="eastAsia"/>
          <w:b w:val="0"/>
          <w:bCs w:val="0"/>
          <w:sz w:val="28"/>
          <w:szCs w:val="28"/>
          <w:lang w:val="en-US" w:eastAsia="zh-CN"/>
        </w:rPr>
        <w:t>500---646：146×0.550％=8030.000元</w:t>
      </w:r>
    </w:p>
    <w:p>
      <w:pPr>
        <w:jc w:val="both"/>
        <w:rPr>
          <w:rFonts w:hint="eastAsia"/>
          <w:b w:val="0"/>
          <w:bCs w:val="0"/>
          <w:sz w:val="28"/>
          <w:szCs w:val="28"/>
          <w:lang w:val="en-US" w:eastAsia="zh-CN"/>
        </w:rPr>
      </w:pPr>
      <w:r>
        <w:rPr>
          <w:rFonts w:hint="eastAsia"/>
          <w:b w:val="0"/>
          <w:bCs w:val="0"/>
          <w:sz w:val="28"/>
          <w:szCs w:val="28"/>
          <w:lang w:val="en-US" w:eastAsia="zh-CN"/>
        </w:rPr>
        <w:t>各项结果累计得：46030.000元</w:t>
      </w:r>
    </w:p>
    <w:p>
      <w:pPr>
        <w:jc w:val="both"/>
        <w:rPr>
          <w:rFonts w:hint="eastAsia"/>
          <w:b w:val="0"/>
          <w:bCs w:val="0"/>
          <w:sz w:val="28"/>
          <w:szCs w:val="28"/>
          <w:lang w:val="en-US" w:eastAsia="zh-CN"/>
        </w:rPr>
      </w:pPr>
      <w:r>
        <w:rPr>
          <w:rFonts w:hint="eastAsia"/>
          <w:b w:val="0"/>
          <w:bCs w:val="0"/>
          <w:sz w:val="28"/>
          <w:szCs w:val="28"/>
          <w:lang w:val="en-US" w:eastAsia="zh-CN"/>
        </w:rPr>
        <w:t>按100％计算得：46030.000元</w:t>
      </w:r>
    </w:p>
    <w:p>
      <w:pPr>
        <w:jc w:val="both"/>
        <w:rPr>
          <w:rFonts w:hint="eastAsia"/>
          <w:b/>
          <w:bCs/>
          <w:sz w:val="28"/>
          <w:szCs w:val="28"/>
          <w:lang w:val="en-US" w:eastAsia="zh-CN"/>
        </w:rPr>
      </w:pPr>
      <w:r>
        <w:rPr>
          <w:rFonts w:hint="eastAsia"/>
          <w:b/>
          <w:bCs/>
          <w:sz w:val="28"/>
          <w:szCs w:val="28"/>
          <w:lang w:val="en-US" w:eastAsia="zh-CN"/>
        </w:rPr>
        <w:t>收费项目：6.2 安装工程量清单编制（清单计价）</w:t>
      </w:r>
    </w:p>
    <w:p>
      <w:pPr>
        <w:jc w:val="both"/>
        <w:rPr>
          <w:rFonts w:hint="eastAsia"/>
          <w:b/>
          <w:bCs/>
          <w:sz w:val="28"/>
          <w:szCs w:val="28"/>
          <w:lang w:val="en-US" w:eastAsia="zh-CN"/>
        </w:rPr>
      </w:pPr>
      <w:r>
        <w:rPr>
          <w:rFonts w:hint="eastAsia"/>
          <w:b/>
          <w:bCs/>
          <w:sz w:val="28"/>
          <w:szCs w:val="28"/>
          <w:lang w:val="en-US" w:eastAsia="zh-CN"/>
        </w:rPr>
        <w:t>中标价（万元）：646</w:t>
      </w:r>
    </w:p>
    <w:p>
      <w:pPr>
        <w:jc w:val="both"/>
        <w:rPr>
          <w:rFonts w:hint="eastAsia"/>
          <w:b w:val="0"/>
          <w:bCs w:val="0"/>
          <w:sz w:val="28"/>
          <w:szCs w:val="28"/>
          <w:lang w:val="en-US" w:eastAsia="zh-CN"/>
        </w:rPr>
      </w:pPr>
      <w:r>
        <w:rPr>
          <w:rFonts w:hint="eastAsia"/>
          <w:b w:val="0"/>
          <w:bCs w:val="0"/>
          <w:sz w:val="28"/>
          <w:szCs w:val="28"/>
          <w:lang w:val="en-US" w:eastAsia="zh-CN"/>
        </w:rPr>
        <w:t>0---100：100×5.00‰=5000.00元</w:t>
      </w:r>
    </w:p>
    <w:p>
      <w:pPr>
        <w:jc w:val="both"/>
        <w:rPr>
          <w:rFonts w:hint="eastAsia"/>
          <w:b w:val="0"/>
          <w:bCs w:val="0"/>
          <w:sz w:val="28"/>
          <w:szCs w:val="28"/>
          <w:lang w:val="en-US" w:eastAsia="zh-CN"/>
        </w:rPr>
      </w:pPr>
      <w:r>
        <w:rPr>
          <w:rFonts w:hint="eastAsia"/>
          <w:b w:val="0"/>
          <w:bCs w:val="0"/>
          <w:sz w:val="28"/>
          <w:szCs w:val="28"/>
          <w:lang w:val="en-US" w:eastAsia="zh-CN"/>
        </w:rPr>
        <w:t>100---200：100×4.60‰=4600.00元</w:t>
      </w:r>
    </w:p>
    <w:p>
      <w:pPr>
        <w:jc w:val="both"/>
        <w:rPr>
          <w:rFonts w:hint="eastAsia"/>
          <w:b w:val="0"/>
          <w:bCs w:val="0"/>
          <w:sz w:val="28"/>
          <w:szCs w:val="28"/>
          <w:lang w:val="en-US" w:eastAsia="zh-CN"/>
        </w:rPr>
      </w:pPr>
      <w:r>
        <w:rPr>
          <w:rFonts w:hint="eastAsia"/>
          <w:b w:val="0"/>
          <w:bCs w:val="0"/>
          <w:sz w:val="28"/>
          <w:szCs w:val="28"/>
          <w:lang w:val="en-US" w:eastAsia="zh-CN"/>
        </w:rPr>
        <w:t>200---500：300×4.00‰=12000.00元</w:t>
      </w:r>
    </w:p>
    <w:p>
      <w:pPr>
        <w:jc w:val="both"/>
        <w:rPr>
          <w:rFonts w:hint="eastAsia"/>
          <w:b w:val="0"/>
          <w:bCs w:val="0"/>
          <w:sz w:val="28"/>
          <w:szCs w:val="28"/>
          <w:lang w:val="en-US" w:eastAsia="zh-CN"/>
        </w:rPr>
      </w:pPr>
      <w:r>
        <w:rPr>
          <w:rFonts w:hint="eastAsia"/>
          <w:b w:val="0"/>
          <w:bCs w:val="0"/>
          <w:sz w:val="28"/>
          <w:szCs w:val="28"/>
          <w:lang w:val="en-US" w:eastAsia="zh-CN"/>
        </w:rPr>
        <w:t>500---646：146×3.60‰=5256.00元</w:t>
      </w:r>
    </w:p>
    <w:p>
      <w:pPr>
        <w:jc w:val="both"/>
        <w:rPr>
          <w:rFonts w:hint="eastAsia"/>
          <w:b w:val="0"/>
          <w:bCs w:val="0"/>
          <w:sz w:val="28"/>
          <w:szCs w:val="28"/>
          <w:lang w:val="en-US" w:eastAsia="zh-CN"/>
        </w:rPr>
      </w:pPr>
      <w:r>
        <w:rPr>
          <w:rFonts w:hint="eastAsia"/>
          <w:b w:val="0"/>
          <w:bCs w:val="0"/>
          <w:sz w:val="28"/>
          <w:szCs w:val="28"/>
          <w:lang w:val="en-US" w:eastAsia="zh-CN"/>
        </w:rPr>
        <w:t>各项结果累计得：26856.00元</w:t>
      </w:r>
    </w:p>
    <w:p>
      <w:pPr>
        <w:jc w:val="both"/>
        <w:rPr>
          <w:rFonts w:hint="eastAsia"/>
          <w:b w:val="0"/>
          <w:bCs w:val="0"/>
          <w:sz w:val="28"/>
          <w:szCs w:val="28"/>
          <w:lang w:val="en-US" w:eastAsia="zh-CN"/>
        </w:rPr>
      </w:pPr>
      <w:r>
        <w:rPr>
          <w:rFonts w:hint="eastAsia"/>
          <w:b w:val="0"/>
          <w:bCs w:val="0"/>
          <w:sz w:val="28"/>
          <w:szCs w:val="28"/>
          <w:lang w:val="en-US" w:eastAsia="zh-CN"/>
        </w:rPr>
        <w:t>按100％计算得：26856.00元</w:t>
      </w:r>
    </w:p>
    <w:p>
      <w:pPr>
        <w:jc w:val="both"/>
        <w:rPr>
          <w:rFonts w:hint="eastAsia"/>
          <w:b/>
          <w:bCs/>
          <w:sz w:val="28"/>
          <w:szCs w:val="28"/>
          <w:lang w:val="en-US" w:eastAsia="zh-CN"/>
        </w:rPr>
      </w:pPr>
      <w:r>
        <w:rPr>
          <w:rFonts w:hint="eastAsia"/>
          <w:b/>
          <w:bCs/>
          <w:sz w:val="28"/>
          <w:szCs w:val="28"/>
          <w:lang w:val="en-US" w:eastAsia="zh-CN"/>
        </w:rPr>
        <w:t>收费项目：6.4 安装工程控制价编制（清单计价）</w:t>
      </w:r>
    </w:p>
    <w:p>
      <w:pPr>
        <w:jc w:val="both"/>
        <w:rPr>
          <w:rFonts w:hint="eastAsia"/>
          <w:b w:val="0"/>
          <w:bCs w:val="0"/>
          <w:sz w:val="28"/>
          <w:szCs w:val="28"/>
          <w:lang w:val="en-US" w:eastAsia="zh-CN"/>
        </w:rPr>
      </w:pPr>
      <w:r>
        <w:rPr>
          <w:rFonts w:hint="eastAsia"/>
          <w:b w:val="0"/>
          <w:bCs w:val="0"/>
          <w:sz w:val="28"/>
          <w:szCs w:val="28"/>
          <w:lang w:val="en-US" w:eastAsia="zh-CN"/>
        </w:rPr>
        <w:t>0---100：100×2.10‰=2100.00元</w:t>
      </w:r>
    </w:p>
    <w:p>
      <w:pPr>
        <w:jc w:val="both"/>
        <w:rPr>
          <w:rFonts w:hint="eastAsia"/>
          <w:b w:val="0"/>
          <w:bCs w:val="0"/>
          <w:sz w:val="28"/>
          <w:szCs w:val="28"/>
          <w:lang w:val="en-US" w:eastAsia="zh-CN"/>
        </w:rPr>
      </w:pPr>
      <w:r>
        <w:rPr>
          <w:rFonts w:hint="eastAsia"/>
          <w:b w:val="0"/>
          <w:bCs w:val="0"/>
          <w:sz w:val="28"/>
          <w:szCs w:val="28"/>
          <w:lang w:val="en-US" w:eastAsia="zh-CN"/>
        </w:rPr>
        <w:t>100---200：100×1.90‰=1900.00元</w:t>
      </w:r>
    </w:p>
    <w:p>
      <w:pPr>
        <w:jc w:val="both"/>
        <w:rPr>
          <w:rFonts w:hint="eastAsia"/>
          <w:b w:val="0"/>
          <w:bCs w:val="0"/>
          <w:sz w:val="28"/>
          <w:szCs w:val="28"/>
          <w:lang w:val="en-US" w:eastAsia="zh-CN"/>
        </w:rPr>
      </w:pPr>
      <w:r>
        <w:rPr>
          <w:rFonts w:hint="eastAsia"/>
          <w:b w:val="0"/>
          <w:bCs w:val="0"/>
          <w:sz w:val="28"/>
          <w:szCs w:val="28"/>
          <w:lang w:val="en-US" w:eastAsia="zh-CN"/>
        </w:rPr>
        <w:t>200---500：300×1.70‰=5100.00元</w:t>
      </w:r>
    </w:p>
    <w:p>
      <w:pPr>
        <w:jc w:val="both"/>
        <w:rPr>
          <w:rFonts w:hint="eastAsia"/>
          <w:b w:val="0"/>
          <w:bCs w:val="0"/>
          <w:sz w:val="28"/>
          <w:szCs w:val="28"/>
          <w:lang w:val="en-US" w:eastAsia="zh-CN"/>
        </w:rPr>
      </w:pPr>
      <w:r>
        <w:rPr>
          <w:rFonts w:hint="eastAsia"/>
          <w:b w:val="0"/>
          <w:bCs w:val="0"/>
          <w:sz w:val="28"/>
          <w:szCs w:val="28"/>
          <w:lang w:val="en-US" w:eastAsia="zh-CN"/>
        </w:rPr>
        <w:t>500---646：146×1.60‰=2336.00元</w:t>
      </w:r>
    </w:p>
    <w:p>
      <w:pPr>
        <w:jc w:val="both"/>
        <w:rPr>
          <w:rFonts w:hint="eastAsia"/>
          <w:b w:val="0"/>
          <w:bCs w:val="0"/>
          <w:sz w:val="28"/>
          <w:szCs w:val="28"/>
          <w:lang w:val="en-US" w:eastAsia="zh-CN"/>
        </w:rPr>
      </w:pPr>
      <w:r>
        <w:rPr>
          <w:rFonts w:hint="eastAsia"/>
          <w:b w:val="0"/>
          <w:bCs w:val="0"/>
          <w:sz w:val="28"/>
          <w:szCs w:val="28"/>
          <w:lang w:val="en-US" w:eastAsia="zh-CN"/>
        </w:rPr>
        <w:t>各项结果累计得：11436.00元</w:t>
      </w:r>
    </w:p>
    <w:p>
      <w:pPr>
        <w:jc w:val="both"/>
        <w:rPr>
          <w:rFonts w:hint="eastAsia"/>
          <w:b w:val="0"/>
          <w:bCs w:val="0"/>
          <w:sz w:val="28"/>
          <w:szCs w:val="28"/>
          <w:lang w:val="en-US" w:eastAsia="zh-CN"/>
        </w:rPr>
      </w:pPr>
      <w:r>
        <w:rPr>
          <w:rFonts w:hint="eastAsia"/>
          <w:b w:val="0"/>
          <w:bCs w:val="0"/>
          <w:sz w:val="28"/>
          <w:szCs w:val="28"/>
          <w:lang w:val="en-US" w:eastAsia="zh-CN"/>
        </w:rPr>
        <w:t>按100％计算得：11436.00元</w:t>
      </w:r>
    </w:p>
    <w:p>
      <w:pPr>
        <w:jc w:val="both"/>
        <w:rPr>
          <w:rFonts w:hint="eastAsia"/>
          <w:b/>
          <w:bCs/>
          <w:sz w:val="28"/>
          <w:szCs w:val="28"/>
          <w:lang w:val="en-US" w:eastAsia="zh-CN"/>
        </w:rPr>
      </w:pPr>
      <w:r>
        <w:rPr>
          <w:rFonts w:hint="eastAsia"/>
          <w:b/>
          <w:bCs/>
          <w:sz w:val="28"/>
          <w:szCs w:val="28"/>
          <w:lang w:val="en-US" w:eastAsia="zh-CN"/>
        </w:rPr>
        <w:t>合计：46030+26856+11436=84322</w:t>
      </w:r>
    </w:p>
    <w:p>
      <w:pPr>
        <w:jc w:val="both"/>
        <w:rPr>
          <w:rFonts w:hint="eastAsia"/>
          <w:b/>
          <w:bCs/>
          <w:sz w:val="28"/>
          <w:szCs w:val="28"/>
          <w:lang w:val="en-US" w:eastAsia="zh-CN"/>
        </w:rPr>
      </w:pPr>
      <w:r>
        <w:rPr>
          <w:rFonts w:hint="eastAsia"/>
          <w:b/>
          <w:bCs/>
          <w:sz w:val="28"/>
          <w:szCs w:val="28"/>
          <w:lang w:val="en-US" w:eastAsia="zh-CN"/>
        </w:rPr>
        <w:t>按7折优惠84322×70％=59025元</w:t>
      </w:r>
    </w:p>
    <w:p>
      <w:pPr>
        <w:jc w:val="both"/>
        <w:rPr>
          <w:rFonts w:hint="eastAsia"/>
          <w:b/>
          <w:bCs/>
          <w:sz w:val="28"/>
          <w:szCs w:val="28"/>
          <w:lang w:val="en-US" w:eastAsia="zh-CN"/>
        </w:rPr>
      </w:pPr>
      <w:r>
        <w:rPr>
          <w:rFonts w:hint="eastAsia"/>
          <w:b/>
          <w:bCs/>
          <w:sz w:val="28"/>
          <w:szCs w:val="28"/>
          <w:lang w:val="en-US" w:eastAsia="zh-CN"/>
        </w:rPr>
        <w:t>专家评审费按10000元计算</w:t>
      </w:r>
    </w:p>
    <w:p>
      <w:pPr>
        <w:jc w:val="both"/>
        <w:rPr>
          <w:rFonts w:hint="eastAsia"/>
          <w:b/>
          <w:bCs/>
          <w:sz w:val="28"/>
          <w:szCs w:val="28"/>
          <w:lang w:val="en-US" w:eastAsia="zh-CN"/>
        </w:rPr>
      </w:pPr>
      <w:r>
        <w:rPr>
          <w:rFonts w:hint="eastAsia"/>
          <w:b/>
          <w:bCs/>
          <w:sz w:val="28"/>
          <w:szCs w:val="28"/>
          <w:lang w:val="en-US" w:eastAsia="zh-CN"/>
        </w:rPr>
        <w:t>总计为59025+10000=69025元</w:t>
      </w:r>
    </w:p>
    <w:p>
      <w:pPr>
        <w:spacing w:line="800" w:lineRule="exact"/>
        <w:rPr>
          <w:rFonts w:ascii="ˎ̥" w:hAnsi="ˎ̥" w:cs="Arial"/>
          <w:color w:val="000000"/>
          <w:kern w:val="0"/>
          <w:szCs w:val="21"/>
        </w:rPr>
      </w:pPr>
      <w:r>
        <w:rPr>
          <w:rFonts w:hint="eastAsia"/>
          <w:sz w:val="28"/>
          <w:szCs w:val="28"/>
          <w:lang w:eastAsia="zh-CN"/>
        </w:rPr>
        <w:t>附表</w:t>
      </w:r>
      <w:r>
        <w:rPr>
          <w:rFonts w:hint="eastAsia"/>
          <w:sz w:val="28"/>
          <w:szCs w:val="28"/>
          <w:lang w:val="en-US" w:eastAsia="zh-CN"/>
        </w:rPr>
        <w:t>1</w:t>
      </w:r>
      <w:r>
        <w:rPr>
          <w:rFonts w:hint="eastAsia"/>
          <w:sz w:val="28"/>
          <w:szCs w:val="28"/>
          <w:lang w:eastAsia="zh-CN"/>
        </w:rPr>
        <w:t>：招标代理服务收费标准</w:t>
      </w:r>
    </w:p>
    <w:p>
      <w:pPr>
        <w:widowControl/>
        <w:spacing w:line="500" w:lineRule="atLeast"/>
        <w:jc w:val="center"/>
        <w:rPr>
          <w:rFonts w:ascii="ˎ̥" w:hAnsi="ˎ̥" w:cs="Arial"/>
          <w:color w:val="000000"/>
          <w:kern w:val="0"/>
          <w:szCs w:val="21"/>
        </w:rPr>
      </w:pPr>
      <w:r>
        <w:rPr>
          <w:rFonts w:ascii="ˎ̥" w:hAnsi="ˎ̥" w:cs="Arial"/>
          <w:color w:val="000000"/>
          <w:kern w:val="0"/>
          <w:szCs w:val="21"/>
        </w:rPr>
        <w:t> </w:t>
      </w:r>
    </w:p>
    <w:tbl>
      <w:tblPr>
        <w:tblStyle w:val="23"/>
        <w:tblW w:w="8385" w:type="dxa"/>
        <w:jc w:val="center"/>
        <w:tblInd w:w="1"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445"/>
        <w:gridCol w:w="1980"/>
        <w:gridCol w:w="1980"/>
        <w:gridCol w:w="198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2445"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b/>
                <w:bCs/>
                <w:color w:val="000000"/>
                <w:kern w:val="0"/>
                <w:szCs w:val="21"/>
              </w:rPr>
              <w:t>中标金额（万元）</w:t>
            </w:r>
          </w:p>
        </w:tc>
        <w:tc>
          <w:tcPr>
            <w:tcW w:w="1980" w:type="dxa"/>
            <w:tcBorders>
              <w:top w:val="outset" w:color="auto" w:sz="6" w:space="0"/>
              <w:left w:val="outset" w:color="auto" w:sz="6" w:space="0"/>
              <w:bottom w:val="outset" w:color="auto" w:sz="6" w:space="0"/>
              <w:right w:val="outset" w:color="auto" w:sz="6" w:space="0"/>
            </w:tcBorders>
            <w:vAlign w:val="center"/>
          </w:tcPr>
          <w:p>
            <w:pPr>
              <w:widowControl/>
              <w:spacing w:line="500" w:lineRule="atLeast"/>
              <w:jc w:val="center"/>
              <w:rPr>
                <w:rFonts w:ascii="ˎ̥" w:hAnsi="ˎ̥" w:cs="Arial"/>
                <w:color w:val="000000"/>
                <w:kern w:val="0"/>
                <w:szCs w:val="21"/>
              </w:rPr>
            </w:pPr>
            <w:r>
              <w:rPr>
                <w:rFonts w:ascii="ˎ̥" w:hAnsi="ˎ̥" w:cs="Arial"/>
                <w:b/>
                <w:bCs/>
                <w:color w:val="000000"/>
                <w:kern w:val="0"/>
                <w:szCs w:val="21"/>
              </w:rPr>
              <w:t>货物招标</w:t>
            </w:r>
          </w:p>
        </w:tc>
        <w:tc>
          <w:tcPr>
            <w:tcW w:w="1980" w:type="dxa"/>
            <w:tcBorders>
              <w:top w:val="outset" w:color="auto" w:sz="6" w:space="0"/>
              <w:left w:val="outset" w:color="auto" w:sz="6" w:space="0"/>
              <w:bottom w:val="outset" w:color="auto" w:sz="6" w:space="0"/>
              <w:right w:val="outset" w:color="auto" w:sz="6" w:space="0"/>
            </w:tcBorders>
            <w:vAlign w:val="center"/>
          </w:tcPr>
          <w:p>
            <w:pPr>
              <w:widowControl/>
              <w:spacing w:line="500" w:lineRule="atLeast"/>
              <w:jc w:val="center"/>
              <w:rPr>
                <w:rFonts w:ascii="ˎ̥" w:hAnsi="ˎ̥" w:cs="Arial"/>
                <w:color w:val="000000"/>
                <w:kern w:val="0"/>
                <w:szCs w:val="21"/>
              </w:rPr>
            </w:pPr>
            <w:r>
              <w:rPr>
                <w:rFonts w:ascii="ˎ̥" w:hAnsi="ˎ̥" w:cs="Arial"/>
                <w:b/>
                <w:bCs/>
                <w:color w:val="000000"/>
                <w:kern w:val="0"/>
                <w:szCs w:val="21"/>
              </w:rPr>
              <w:t>服务招标</w:t>
            </w:r>
          </w:p>
        </w:tc>
        <w:tc>
          <w:tcPr>
            <w:tcW w:w="1980" w:type="dxa"/>
            <w:tcBorders>
              <w:top w:val="outset" w:color="auto" w:sz="6" w:space="0"/>
              <w:left w:val="outset" w:color="auto" w:sz="6" w:space="0"/>
              <w:bottom w:val="outset" w:color="auto" w:sz="6" w:space="0"/>
              <w:right w:val="outset" w:color="auto" w:sz="6" w:space="0"/>
            </w:tcBorders>
            <w:vAlign w:val="center"/>
          </w:tcPr>
          <w:p>
            <w:pPr>
              <w:widowControl/>
              <w:spacing w:line="500" w:lineRule="atLeast"/>
              <w:jc w:val="center"/>
              <w:rPr>
                <w:rFonts w:ascii="ˎ̥" w:hAnsi="ˎ̥" w:cs="Arial"/>
                <w:color w:val="000000"/>
                <w:kern w:val="0"/>
                <w:szCs w:val="21"/>
              </w:rPr>
            </w:pPr>
            <w:r>
              <w:rPr>
                <w:rFonts w:ascii="ˎ̥" w:hAnsi="ˎ̥" w:cs="Arial"/>
                <w:b/>
                <w:bCs/>
                <w:color w:val="000000"/>
                <w:kern w:val="0"/>
                <w:szCs w:val="21"/>
              </w:rPr>
              <w:t>工程招标</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2445"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100以下</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1.5%</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1.5%</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1.0%</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2445"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100-500</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1.1%</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0.8%</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0.7%</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2445"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500-1000</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0.8%</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0.45%</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0.55%</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2445"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1000-5000</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0.5%</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0.25%</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0.35%</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2445"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5000-10000</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0.25%</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0.1%</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ascii="ˎ̥" w:hAnsi="ˎ̥" w:cs="Arial"/>
                <w:color w:val="000000"/>
                <w:kern w:val="0"/>
                <w:szCs w:val="21"/>
              </w:rPr>
              <w:t>0.2%</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2445"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hint="default" w:ascii="ˎ̥" w:hAnsi="ˎ̥" w:eastAsia="宋体" w:cs="Arial"/>
                <w:color w:val="000000"/>
                <w:kern w:val="0"/>
                <w:szCs w:val="21"/>
                <w:lang w:val="en-US" w:eastAsia="zh-CN"/>
              </w:rPr>
            </w:pPr>
            <w:r>
              <w:rPr>
                <w:rFonts w:hint="eastAsia" w:ascii="ˎ̥" w:hAnsi="ˎ̥" w:cs="Arial"/>
                <w:color w:val="000000"/>
                <w:kern w:val="0"/>
                <w:szCs w:val="21"/>
                <w:lang w:val="en-US" w:eastAsia="zh-CN"/>
              </w:rPr>
              <w:t>10000-100000</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hint="default" w:ascii="ˎ̥" w:hAnsi="ˎ̥" w:eastAsia="宋体" w:cs="Arial"/>
                <w:color w:val="000000"/>
                <w:kern w:val="0"/>
                <w:szCs w:val="21"/>
                <w:lang w:val="en-US" w:eastAsia="zh-CN"/>
              </w:rPr>
            </w:pPr>
            <w:r>
              <w:rPr>
                <w:rFonts w:hint="eastAsia" w:ascii="ˎ̥" w:hAnsi="ˎ̥" w:cs="Arial"/>
                <w:color w:val="000000"/>
                <w:kern w:val="0"/>
                <w:szCs w:val="21"/>
                <w:lang w:val="en-US" w:eastAsia="zh-CN"/>
              </w:rPr>
              <w:t>0.05%</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hint="eastAsia" w:ascii="ˎ̥" w:hAnsi="ˎ̥" w:cs="Arial"/>
                <w:color w:val="000000"/>
                <w:kern w:val="0"/>
                <w:szCs w:val="21"/>
                <w:lang w:val="en-US" w:eastAsia="zh-CN"/>
              </w:rPr>
              <w:t>0.05%</w:t>
            </w:r>
          </w:p>
        </w:tc>
        <w:tc>
          <w:tcPr>
            <w:tcW w:w="1980" w:type="dxa"/>
            <w:tcBorders>
              <w:top w:val="outset" w:color="auto" w:sz="6" w:space="0"/>
              <w:left w:val="outset" w:color="auto" w:sz="6" w:space="0"/>
              <w:bottom w:val="outset" w:color="auto" w:sz="6" w:space="0"/>
              <w:right w:val="outset" w:color="auto" w:sz="6" w:space="0"/>
            </w:tcBorders>
            <w:vAlign w:val="top"/>
          </w:tcPr>
          <w:p>
            <w:pPr>
              <w:widowControl/>
              <w:spacing w:line="500" w:lineRule="atLeast"/>
              <w:jc w:val="center"/>
              <w:rPr>
                <w:rFonts w:ascii="ˎ̥" w:hAnsi="ˎ̥" w:cs="Arial"/>
                <w:color w:val="000000"/>
                <w:kern w:val="0"/>
                <w:szCs w:val="21"/>
              </w:rPr>
            </w:pPr>
            <w:r>
              <w:rPr>
                <w:rFonts w:hint="eastAsia" w:ascii="ˎ̥" w:hAnsi="ˎ̥" w:cs="Arial"/>
                <w:color w:val="000000"/>
                <w:kern w:val="0"/>
                <w:szCs w:val="21"/>
                <w:lang w:val="en-US" w:eastAsia="zh-CN"/>
              </w:rPr>
              <w:t>0.035%</w:t>
            </w:r>
          </w:p>
        </w:tc>
      </w:tr>
    </w:tbl>
    <w:p>
      <w:pPr>
        <w:spacing w:line="240" w:lineRule="auto"/>
        <w:rPr>
          <w:rFonts w:hint="eastAsia"/>
          <w:sz w:val="28"/>
          <w:szCs w:val="28"/>
          <w:lang w:eastAsia="zh-CN"/>
        </w:rPr>
      </w:pPr>
    </w:p>
    <w:tbl>
      <w:tblPr>
        <w:tblStyle w:val="23"/>
        <w:tblpPr w:leftFromText="180" w:rightFromText="180" w:vertAnchor="text" w:horzAnchor="page" w:tblpX="1298" w:tblpY="863"/>
        <w:tblOverlap w:val="never"/>
        <w:tblW w:w="9398" w:type="dxa"/>
        <w:tblCellSpacing w:w="0" w:type="dxa"/>
        <w:tblInd w:w="0" w:type="dxa"/>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fixed"/>
        <w:tblCellMar>
          <w:top w:w="0" w:type="dxa"/>
          <w:left w:w="0" w:type="dxa"/>
          <w:bottom w:w="0" w:type="dxa"/>
          <w:right w:w="0" w:type="dxa"/>
        </w:tblCellMar>
      </w:tblPr>
      <w:tblGrid>
        <w:gridCol w:w="492"/>
        <w:gridCol w:w="612"/>
        <w:gridCol w:w="847"/>
        <w:gridCol w:w="1380"/>
        <w:gridCol w:w="929"/>
        <w:gridCol w:w="788"/>
        <w:gridCol w:w="806"/>
        <w:gridCol w:w="881"/>
        <w:gridCol w:w="788"/>
        <w:gridCol w:w="618"/>
        <w:gridCol w:w="600"/>
        <w:gridCol w:w="657"/>
      </w:tblGrid>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fixed"/>
          <w:tblCellMar>
            <w:top w:w="0" w:type="dxa"/>
            <w:left w:w="0" w:type="dxa"/>
            <w:bottom w:w="0" w:type="dxa"/>
            <w:right w:w="0" w:type="dxa"/>
          </w:tblCellMar>
        </w:tblPrEx>
        <w:trPr>
          <w:trHeight w:val="284" w:hRule="atLeast"/>
          <w:tblCellSpacing w:w="0" w:type="dxa"/>
        </w:trPr>
        <w:tc>
          <w:tcPr>
            <w:tcW w:w="1104" w:type="dxa"/>
            <w:gridSpan w:val="2"/>
            <w:vMerge w:val="restart"/>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rFonts w:hAnsi="宋体"/>
                <w:b/>
                <w:bCs/>
                <w:kern w:val="0"/>
                <w:sz w:val="18"/>
                <w:szCs w:val="18"/>
              </w:rPr>
              <w:t>咨</w:t>
            </w:r>
            <w:r>
              <w:rPr>
                <w:b/>
                <w:bCs/>
                <w:kern w:val="0"/>
                <w:sz w:val="18"/>
                <w:szCs w:val="18"/>
              </w:rPr>
              <w:t xml:space="preserve"> </w:t>
            </w:r>
            <w:r>
              <w:rPr>
                <w:rFonts w:hAnsi="宋体"/>
                <w:b/>
                <w:bCs/>
                <w:kern w:val="0"/>
                <w:sz w:val="18"/>
                <w:szCs w:val="18"/>
              </w:rPr>
              <w:t>询</w:t>
            </w:r>
            <w:r>
              <w:rPr>
                <w:b/>
                <w:bCs/>
                <w:kern w:val="0"/>
                <w:sz w:val="18"/>
                <w:szCs w:val="18"/>
              </w:rPr>
              <w:t xml:space="preserve"> </w:t>
            </w:r>
            <w:r>
              <w:rPr>
                <w:rFonts w:hAnsi="宋体"/>
                <w:b/>
                <w:bCs/>
                <w:kern w:val="0"/>
                <w:sz w:val="18"/>
                <w:szCs w:val="18"/>
              </w:rPr>
              <w:t>项</w:t>
            </w:r>
            <w:r>
              <w:rPr>
                <w:b/>
                <w:bCs/>
                <w:kern w:val="0"/>
                <w:sz w:val="18"/>
                <w:szCs w:val="18"/>
              </w:rPr>
              <w:t xml:space="preserve"> </w:t>
            </w:r>
            <w:r>
              <w:rPr>
                <w:rFonts w:hAnsi="宋体"/>
                <w:b/>
                <w:bCs/>
                <w:kern w:val="0"/>
                <w:sz w:val="18"/>
                <w:szCs w:val="18"/>
              </w:rPr>
              <w:t>目</w:t>
            </w:r>
            <w:r>
              <w:rPr>
                <w:b/>
                <w:bCs/>
                <w:kern w:val="0"/>
                <w:sz w:val="18"/>
                <w:szCs w:val="18"/>
              </w:rPr>
              <w:t xml:space="preserve"> </w:t>
            </w:r>
          </w:p>
        </w:tc>
        <w:tc>
          <w:tcPr>
            <w:tcW w:w="847" w:type="dxa"/>
            <w:vMerge w:val="restart"/>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rFonts w:hAnsi="宋体"/>
                <w:b/>
                <w:bCs/>
                <w:kern w:val="0"/>
                <w:sz w:val="18"/>
                <w:szCs w:val="18"/>
              </w:rPr>
              <w:t>收费基础</w:t>
            </w:r>
            <w:r>
              <w:rPr>
                <w:b/>
                <w:bCs/>
                <w:kern w:val="0"/>
                <w:sz w:val="18"/>
                <w:szCs w:val="18"/>
              </w:rPr>
              <w:t xml:space="preserve"> </w:t>
            </w:r>
          </w:p>
        </w:tc>
        <w:tc>
          <w:tcPr>
            <w:tcW w:w="1380" w:type="dxa"/>
            <w:vMerge w:val="restart"/>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rFonts w:hAnsi="宋体"/>
                <w:b/>
                <w:bCs/>
                <w:kern w:val="0"/>
                <w:sz w:val="18"/>
                <w:szCs w:val="18"/>
              </w:rPr>
              <w:t>工</w:t>
            </w:r>
            <w:r>
              <w:rPr>
                <w:b/>
                <w:bCs/>
                <w:kern w:val="0"/>
                <w:sz w:val="18"/>
                <w:szCs w:val="18"/>
              </w:rPr>
              <w:t xml:space="preserve"> </w:t>
            </w:r>
            <w:r>
              <w:rPr>
                <w:rFonts w:hAnsi="宋体"/>
                <w:b/>
                <w:bCs/>
                <w:kern w:val="0"/>
                <w:sz w:val="18"/>
                <w:szCs w:val="18"/>
              </w:rPr>
              <w:t>程</w:t>
            </w:r>
            <w:r>
              <w:rPr>
                <w:b/>
                <w:bCs/>
                <w:kern w:val="0"/>
                <w:sz w:val="18"/>
                <w:szCs w:val="18"/>
              </w:rPr>
              <w:t xml:space="preserve"> </w:t>
            </w:r>
            <w:r>
              <w:rPr>
                <w:rFonts w:hAnsi="宋体"/>
                <w:b/>
                <w:bCs/>
                <w:kern w:val="0"/>
                <w:sz w:val="18"/>
                <w:szCs w:val="18"/>
              </w:rPr>
              <w:t>类</w:t>
            </w:r>
            <w:r>
              <w:rPr>
                <w:b/>
                <w:bCs/>
                <w:kern w:val="0"/>
                <w:sz w:val="18"/>
                <w:szCs w:val="18"/>
              </w:rPr>
              <w:t xml:space="preserve"> </w:t>
            </w:r>
            <w:r>
              <w:rPr>
                <w:rFonts w:hAnsi="宋体"/>
                <w:b/>
                <w:bCs/>
                <w:kern w:val="0"/>
                <w:sz w:val="18"/>
                <w:szCs w:val="18"/>
              </w:rPr>
              <w:t>型</w:t>
            </w:r>
            <w:r>
              <w:rPr>
                <w:b/>
                <w:bCs/>
                <w:kern w:val="0"/>
                <w:sz w:val="18"/>
                <w:szCs w:val="18"/>
              </w:rPr>
              <w:t xml:space="preserve"> </w:t>
            </w:r>
          </w:p>
        </w:tc>
        <w:tc>
          <w:tcPr>
            <w:tcW w:w="6067" w:type="dxa"/>
            <w:gridSpan w:val="8"/>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rFonts w:hAnsi="宋体"/>
                <w:b/>
                <w:bCs/>
                <w:kern w:val="0"/>
                <w:sz w:val="18"/>
                <w:szCs w:val="18"/>
              </w:rPr>
              <w:t>单</w:t>
            </w:r>
            <w:r>
              <w:rPr>
                <w:b/>
                <w:bCs/>
                <w:kern w:val="0"/>
                <w:sz w:val="18"/>
                <w:szCs w:val="18"/>
              </w:rPr>
              <w:t xml:space="preserve"> </w:t>
            </w:r>
            <w:r>
              <w:rPr>
                <w:rFonts w:hAnsi="宋体"/>
                <w:b/>
                <w:bCs/>
                <w:kern w:val="0"/>
                <w:sz w:val="18"/>
                <w:szCs w:val="18"/>
              </w:rPr>
              <w:t>位</w:t>
            </w:r>
            <w:r>
              <w:rPr>
                <w:b/>
                <w:bCs/>
                <w:kern w:val="0"/>
                <w:sz w:val="18"/>
                <w:szCs w:val="18"/>
              </w:rPr>
              <w:t xml:space="preserve"> </w:t>
            </w:r>
            <w:r>
              <w:rPr>
                <w:rFonts w:hAnsi="宋体"/>
                <w:b/>
                <w:bCs/>
                <w:kern w:val="0"/>
                <w:sz w:val="18"/>
                <w:szCs w:val="18"/>
              </w:rPr>
              <w:t>工</w:t>
            </w:r>
            <w:r>
              <w:rPr>
                <w:b/>
                <w:bCs/>
                <w:kern w:val="0"/>
                <w:sz w:val="18"/>
                <w:szCs w:val="18"/>
              </w:rPr>
              <w:t xml:space="preserve"> </w:t>
            </w:r>
            <w:r>
              <w:rPr>
                <w:rFonts w:hAnsi="宋体"/>
                <w:b/>
                <w:bCs/>
                <w:kern w:val="0"/>
                <w:sz w:val="18"/>
                <w:szCs w:val="18"/>
              </w:rPr>
              <w:t>程</w:t>
            </w:r>
            <w:r>
              <w:rPr>
                <w:b/>
                <w:bCs/>
                <w:kern w:val="0"/>
                <w:sz w:val="18"/>
                <w:szCs w:val="18"/>
              </w:rPr>
              <w:t xml:space="preserve"> </w:t>
            </w:r>
            <w:r>
              <w:rPr>
                <w:rFonts w:hAnsi="宋体"/>
                <w:b/>
                <w:bCs/>
                <w:kern w:val="0"/>
                <w:sz w:val="18"/>
                <w:szCs w:val="18"/>
              </w:rPr>
              <w:t>金</w:t>
            </w:r>
            <w:r>
              <w:rPr>
                <w:b/>
                <w:bCs/>
                <w:kern w:val="0"/>
                <w:sz w:val="18"/>
                <w:szCs w:val="18"/>
              </w:rPr>
              <w:t xml:space="preserve"> </w:t>
            </w:r>
            <w:r>
              <w:rPr>
                <w:rFonts w:hAnsi="宋体"/>
                <w:b/>
                <w:bCs/>
                <w:kern w:val="0"/>
                <w:sz w:val="18"/>
                <w:szCs w:val="18"/>
              </w:rPr>
              <w:t>额</w:t>
            </w:r>
            <w:r>
              <w:rPr>
                <w:b/>
                <w:bCs/>
                <w:kern w:val="0"/>
                <w:sz w:val="18"/>
                <w:szCs w:val="18"/>
              </w:rPr>
              <w:t xml:space="preserve"> </w:t>
            </w:r>
            <w:r>
              <w:rPr>
                <w:rFonts w:hAnsi="宋体"/>
                <w:b/>
                <w:bCs/>
                <w:kern w:val="0"/>
                <w:sz w:val="18"/>
                <w:szCs w:val="18"/>
              </w:rPr>
              <w:t>（万元）</w:t>
            </w:r>
            <w:r>
              <w:rPr>
                <w:b/>
                <w:bCs/>
                <w:kern w:val="0"/>
                <w:sz w:val="18"/>
                <w:szCs w:val="18"/>
              </w:rPr>
              <w:t xml:space="preserve"> </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fixed"/>
          <w:tblCellMar>
            <w:top w:w="0" w:type="dxa"/>
            <w:left w:w="0" w:type="dxa"/>
            <w:bottom w:w="0" w:type="dxa"/>
            <w:right w:w="0" w:type="dxa"/>
          </w:tblCellMar>
        </w:tblPrEx>
        <w:trPr>
          <w:trHeight w:val="284" w:hRule="atLeast"/>
          <w:tblCellSpacing w:w="0" w:type="dxa"/>
        </w:trPr>
        <w:tc>
          <w:tcPr>
            <w:tcW w:w="1104" w:type="dxa"/>
            <w:gridSpan w:val="2"/>
            <w:vMerge w:val="continue"/>
            <w:tcBorders>
              <w:top w:val="outset" w:color="333333" w:sz="6" w:space="0"/>
              <w:left w:val="outset" w:color="333333" w:sz="6" w:space="0"/>
              <w:bottom w:val="outset" w:color="333333" w:sz="6" w:space="0"/>
              <w:right w:val="outset" w:color="333333" w:sz="6" w:space="0"/>
            </w:tcBorders>
            <w:vAlign w:val="center"/>
          </w:tcPr>
          <w:p>
            <w:pPr>
              <w:widowControl/>
              <w:spacing w:line="0" w:lineRule="atLeast"/>
              <w:jc w:val="left"/>
              <w:rPr>
                <w:kern w:val="0"/>
                <w:sz w:val="18"/>
                <w:szCs w:val="18"/>
              </w:rPr>
            </w:pPr>
          </w:p>
        </w:tc>
        <w:tc>
          <w:tcPr>
            <w:tcW w:w="847" w:type="dxa"/>
            <w:vMerge w:val="continue"/>
            <w:tcBorders>
              <w:top w:val="outset" w:color="333333" w:sz="6" w:space="0"/>
              <w:left w:val="outset" w:color="333333" w:sz="6" w:space="0"/>
              <w:bottom w:val="outset" w:color="333333" w:sz="6" w:space="0"/>
              <w:right w:val="outset" w:color="333333" w:sz="6" w:space="0"/>
            </w:tcBorders>
            <w:vAlign w:val="center"/>
          </w:tcPr>
          <w:p>
            <w:pPr>
              <w:widowControl/>
              <w:spacing w:line="0" w:lineRule="atLeast"/>
              <w:jc w:val="left"/>
              <w:rPr>
                <w:kern w:val="0"/>
                <w:sz w:val="18"/>
                <w:szCs w:val="18"/>
              </w:rPr>
            </w:pPr>
          </w:p>
        </w:tc>
        <w:tc>
          <w:tcPr>
            <w:tcW w:w="1380" w:type="dxa"/>
            <w:vMerge w:val="continue"/>
            <w:tcBorders>
              <w:top w:val="outset" w:color="333333" w:sz="6" w:space="0"/>
              <w:left w:val="outset" w:color="333333" w:sz="6" w:space="0"/>
              <w:bottom w:val="outset" w:color="333333" w:sz="6" w:space="0"/>
              <w:right w:val="outset" w:color="333333" w:sz="6" w:space="0"/>
            </w:tcBorders>
            <w:vAlign w:val="center"/>
          </w:tcPr>
          <w:p>
            <w:pPr>
              <w:widowControl/>
              <w:spacing w:line="0" w:lineRule="atLeast"/>
              <w:jc w:val="left"/>
              <w:rPr>
                <w:kern w:val="0"/>
                <w:sz w:val="18"/>
                <w:szCs w:val="18"/>
              </w:rPr>
            </w:pPr>
          </w:p>
        </w:tc>
        <w:tc>
          <w:tcPr>
            <w:tcW w:w="929"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b/>
                <w:bCs/>
                <w:kern w:val="0"/>
                <w:sz w:val="18"/>
                <w:szCs w:val="18"/>
              </w:rPr>
              <w:t xml:space="preserve">100 </w:t>
            </w:r>
            <w:r>
              <w:rPr>
                <w:rFonts w:hAnsi="宋体"/>
                <w:b/>
                <w:bCs/>
                <w:kern w:val="0"/>
                <w:sz w:val="18"/>
                <w:szCs w:val="18"/>
              </w:rPr>
              <w:t>以内</w:t>
            </w:r>
            <w:r>
              <w:rPr>
                <w:b/>
                <w:bCs/>
                <w:kern w:val="0"/>
                <w:sz w:val="18"/>
                <w:szCs w:val="18"/>
              </w:rPr>
              <w:t xml:space="preserve"> </w:t>
            </w:r>
          </w:p>
        </w:tc>
        <w:tc>
          <w:tcPr>
            <w:tcW w:w="78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b/>
                <w:bCs/>
                <w:kern w:val="0"/>
                <w:sz w:val="18"/>
                <w:szCs w:val="18"/>
              </w:rPr>
              <w:t xml:space="preserve">200 </w:t>
            </w:r>
            <w:r>
              <w:rPr>
                <w:rFonts w:hAnsi="宋体"/>
                <w:b/>
                <w:bCs/>
                <w:kern w:val="0"/>
                <w:sz w:val="18"/>
                <w:szCs w:val="18"/>
              </w:rPr>
              <w:t>以内</w:t>
            </w:r>
            <w:r>
              <w:rPr>
                <w:b/>
                <w:bCs/>
                <w:kern w:val="0"/>
                <w:sz w:val="18"/>
                <w:szCs w:val="18"/>
              </w:rPr>
              <w:t xml:space="preserve"> </w:t>
            </w:r>
          </w:p>
        </w:tc>
        <w:tc>
          <w:tcPr>
            <w:tcW w:w="806"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b/>
                <w:bCs/>
                <w:kern w:val="0"/>
                <w:sz w:val="18"/>
                <w:szCs w:val="18"/>
              </w:rPr>
              <w:t xml:space="preserve">500 </w:t>
            </w:r>
            <w:r>
              <w:rPr>
                <w:rFonts w:hAnsi="宋体"/>
                <w:b/>
                <w:bCs/>
                <w:kern w:val="0"/>
                <w:sz w:val="18"/>
                <w:szCs w:val="18"/>
              </w:rPr>
              <w:t>以内</w:t>
            </w:r>
            <w:r>
              <w:rPr>
                <w:b/>
                <w:bCs/>
                <w:kern w:val="0"/>
                <w:sz w:val="18"/>
                <w:szCs w:val="18"/>
              </w:rPr>
              <w:t xml:space="preserve"> </w:t>
            </w:r>
          </w:p>
        </w:tc>
        <w:tc>
          <w:tcPr>
            <w:tcW w:w="881"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b/>
                <w:bCs/>
                <w:kern w:val="0"/>
                <w:sz w:val="18"/>
                <w:szCs w:val="18"/>
              </w:rPr>
              <w:t xml:space="preserve">1000 </w:t>
            </w:r>
            <w:r>
              <w:rPr>
                <w:rFonts w:hAnsi="宋体"/>
                <w:b/>
                <w:bCs/>
                <w:kern w:val="0"/>
                <w:sz w:val="18"/>
                <w:szCs w:val="18"/>
              </w:rPr>
              <w:t>以内</w:t>
            </w:r>
            <w:r>
              <w:rPr>
                <w:b/>
                <w:bCs/>
                <w:kern w:val="0"/>
                <w:sz w:val="18"/>
                <w:szCs w:val="18"/>
              </w:rPr>
              <w:t xml:space="preserve"> </w:t>
            </w:r>
          </w:p>
        </w:tc>
        <w:tc>
          <w:tcPr>
            <w:tcW w:w="78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b/>
                <w:bCs/>
                <w:kern w:val="0"/>
                <w:sz w:val="18"/>
                <w:szCs w:val="18"/>
              </w:rPr>
              <w:t xml:space="preserve">2000 </w:t>
            </w:r>
            <w:r>
              <w:rPr>
                <w:rFonts w:hAnsi="宋体"/>
                <w:b/>
                <w:bCs/>
                <w:kern w:val="0"/>
                <w:sz w:val="18"/>
                <w:szCs w:val="18"/>
              </w:rPr>
              <w:t>以内</w:t>
            </w:r>
            <w:r>
              <w:rPr>
                <w:b/>
                <w:bCs/>
                <w:kern w:val="0"/>
                <w:sz w:val="18"/>
                <w:szCs w:val="18"/>
              </w:rPr>
              <w:t xml:space="preserve"> </w:t>
            </w:r>
          </w:p>
        </w:tc>
        <w:tc>
          <w:tcPr>
            <w:tcW w:w="61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b/>
                <w:bCs/>
                <w:kern w:val="0"/>
                <w:sz w:val="18"/>
                <w:szCs w:val="18"/>
              </w:rPr>
              <w:t xml:space="preserve">5000 </w:t>
            </w:r>
            <w:r>
              <w:rPr>
                <w:rFonts w:hAnsi="宋体"/>
                <w:b/>
                <w:bCs/>
                <w:kern w:val="0"/>
                <w:sz w:val="18"/>
                <w:szCs w:val="18"/>
              </w:rPr>
              <w:t>以内</w:t>
            </w:r>
            <w:r>
              <w:rPr>
                <w:b/>
                <w:bCs/>
                <w:kern w:val="0"/>
                <w:sz w:val="18"/>
                <w:szCs w:val="18"/>
              </w:rPr>
              <w:t xml:space="preserve"> </w:t>
            </w:r>
          </w:p>
        </w:tc>
        <w:tc>
          <w:tcPr>
            <w:tcW w:w="600"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b/>
                <w:bCs/>
                <w:kern w:val="0"/>
                <w:sz w:val="18"/>
                <w:szCs w:val="18"/>
              </w:rPr>
              <w:t>10000</w:t>
            </w:r>
            <w:r>
              <w:rPr>
                <w:rFonts w:hAnsi="宋体"/>
                <w:b/>
                <w:bCs/>
                <w:kern w:val="0"/>
                <w:sz w:val="18"/>
                <w:szCs w:val="18"/>
              </w:rPr>
              <w:t>以内</w:t>
            </w:r>
            <w:r>
              <w:rPr>
                <w:b/>
                <w:bCs/>
                <w:kern w:val="0"/>
                <w:sz w:val="18"/>
                <w:szCs w:val="18"/>
              </w:rPr>
              <w:t xml:space="preserve"> </w:t>
            </w:r>
          </w:p>
        </w:tc>
        <w:tc>
          <w:tcPr>
            <w:tcW w:w="657"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b/>
                <w:bCs/>
                <w:kern w:val="0"/>
                <w:sz w:val="18"/>
                <w:szCs w:val="18"/>
              </w:rPr>
              <w:t>10000</w:t>
            </w:r>
            <w:r>
              <w:rPr>
                <w:rFonts w:hAnsi="宋体"/>
                <w:b/>
                <w:bCs/>
                <w:kern w:val="0"/>
                <w:sz w:val="18"/>
                <w:szCs w:val="18"/>
              </w:rPr>
              <w:t>以上</w:t>
            </w:r>
            <w:r>
              <w:rPr>
                <w:b/>
                <w:bCs/>
                <w:kern w:val="0"/>
                <w:sz w:val="18"/>
                <w:szCs w:val="18"/>
              </w:rPr>
              <w:t xml:space="preserve"> </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fixed"/>
          <w:tblCellMar>
            <w:top w:w="0" w:type="dxa"/>
            <w:left w:w="0" w:type="dxa"/>
            <w:bottom w:w="0" w:type="dxa"/>
            <w:right w:w="0" w:type="dxa"/>
          </w:tblCellMar>
        </w:tblPrEx>
        <w:trPr>
          <w:trHeight w:val="472" w:hRule="atLeast"/>
          <w:tblCellSpacing w:w="0" w:type="dxa"/>
        </w:trPr>
        <w:tc>
          <w:tcPr>
            <w:tcW w:w="492" w:type="dxa"/>
            <w:vMerge w:val="restart"/>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rFonts w:hAnsi="宋体"/>
                <w:kern w:val="0"/>
                <w:sz w:val="18"/>
                <w:szCs w:val="18"/>
              </w:rPr>
              <w:t>清单计价</w:t>
            </w:r>
          </w:p>
        </w:tc>
        <w:tc>
          <w:tcPr>
            <w:tcW w:w="612" w:type="dxa"/>
            <w:vMerge w:val="restart"/>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rFonts w:hAnsi="宋体"/>
                <w:kern w:val="0"/>
                <w:sz w:val="18"/>
                <w:szCs w:val="18"/>
              </w:rPr>
              <w:t>工程量清单编制</w:t>
            </w:r>
            <w:r>
              <w:rPr>
                <w:kern w:val="0"/>
                <w:sz w:val="18"/>
                <w:szCs w:val="18"/>
              </w:rPr>
              <w:t xml:space="preserve"> </w:t>
            </w:r>
          </w:p>
        </w:tc>
        <w:tc>
          <w:tcPr>
            <w:tcW w:w="847" w:type="dxa"/>
            <w:vMerge w:val="restart"/>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rFonts w:hAnsi="宋体"/>
                <w:kern w:val="0"/>
                <w:sz w:val="18"/>
                <w:szCs w:val="18"/>
              </w:rPr>
              <w:t>中标价</w:t>
            </w:r>
            <w:r>
              <w:rPr>
                <w:kern w:val="0"/>
                <w:sz w:val="18"/>
                <w:szCs w:val="18"/>
              </w:rPr>
              <w:t xml:space="preserve"> </w:t>
            </w:r>
          </w:p>
        </w:tc>
        <w:tc>
          <w:tcPr>
            <w:tcW w:w="1380"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rFonts w:hAnsi="宋体"/>
                <w:kern w:val="0"/>
                <w:sz w:val="18"/>
                <w:szCs w:val="18"/>
              </w:rPr>
              <w:t>建筑工程</w:t>
            </w:r>
            <w:r>
              <w:rPr>
                <w:kern w:val="0"/>
                <w:sz w:val="18"/>
                <w:szCs w:val="18"/>
              </w:rPr>
              <w:t xml:space="preserve"> </w:t>
            </w:r>
          </w:p>
        </w:tc>
        <w:tc>
          <w:tcPr>
            <w:tcW w:w="929"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4.8</w:t>
            </w:r>
          </w:p>
        </w:tc>
        <w:tc>
          <w:tcPr>
            <w:tcW w:w="78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4.3</w:t>
            </w:r>
          </w:p>
        </w:tc>
        <w:tc>
          <w:tcPr>
            <w:tcW w:w="806"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3.8</w:t>
            </w:r>
          </w:p>
        </w:tc>
        <w:tc>
          <w:tcPr>
            <w:tcW w:w="881"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3.4</w:t>
            </w:r>
          </w:p>
        </w:tc>
        <w:tc>
          <w:tcPr>
            <w:tcW w:w="78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3.0</w:t>
            </w:r>
          </w:p>
        </w:tc>
        <w:tc>
          <w:tcPr>
            <w:tcW w:w="61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2.8</w:t>
            </w:r>
          </w:p>
        </w:tc>
        <w:tc>
          <w:tcPr>
            <w:tcW w:w="600"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2.5</w:t>
            </w:r>
          </w:p>
        </w:tc>
        <w:tc>
          <w:tcPr>
            <w:tcW w:w="657"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2.3</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fixed"/>
          <w:tblCellMar>
            <w:top w:w="0" w:type="dxa"/>
            <w:left w:w="0" w:type="dxa"/>
            <w:bottom w:w="0" w:type="dxa"/>
            <w:right w:w="0" w:type="dxa"/>
          </w:tblCellMar>
        </w:tblPrEx>
        <w:trPr>
          <w:trHeight w:val="452" w:hRule="atLeast"/>
          <w:tblCellSpacing w:w="0" w:type="dxa"/>
        </w:trPr>
        <w:tc>
          <w:tcPr>
            <w:tcW w:w="492" w:type="dxa"/>
            <w:vMerge w:val="continue"/>
            <w:tcBorders>
              <w:top w:val="outset" w:color="333333" w:sz="6" w:space="0"/>
              <w:left w:val="outset" w:color="333333" w:sz="6" w:space="0"/>
              <w:bottom w:val="outset" w:color="333333" w:sz="6" w:space="0"/>
              <w:right w:val="outset" w:color="333333" w:sz="6" w:space="0"/>
            </w:tcBorders>
            <w:vAlign w:val="center"/>
          </w:tcPr>
          <w:p>
            <w:pPr>
              <w:widowControl/>
              <w:spacing w:line="0" w:lineRule="atLeast"/>
              <w:jc w:val="left"/>
              <w:rPr>
                <w:kern w:val="0"/>
                <w:sz w:val="18"/>
                <w:szCs w:val="18"/>
              </w:rPr>
            </w:pPr>
          </w:p>
        </w:tc>
        <w:tc>
          <w:tcPr>
            <w:tcW w:w="612" w:type="dxa"/>
            <w:vMerge w:val="continue"/>
            <w:tcBorders>
              <w:top w:val="outset" w:color="333333" w:sz="6" w:space="0"/>
              <w:left w:val="outset" w:color="333333" w:sz="6" w:space="0"/>
              <w:bottom w:val="outset" w:color="333333" w:sz="6" w:space="0"/>
              <w:right w:val="outset" w:color="333333" w:sz="6" w:space="0"/>
            </w:tcBorders>
            <w:vAlign w:val="center"/>
          </w:tcPr>
          <w:p>
            <w:pPr>
              <w:widowControl/>
              <w:spacing w:line="0" w:lineRule="atLeast"/>
              <w:jc w:val="left"/>
              <w:rPr>
                <w:kern w:val="0"/>
                <w:sz w:val="18"/>
                <w:szCs w:val="18"/>
              </w:rPr>
            </w:pPr>
          </w:p>
        </w:tc>
        <w:tc>
          <w:tcPr>
            <w:tcW w:w="847" w:type="dxa"/>
            <w:vMerge w:val="continue"/>
            <w:tcBorders>
              <w:top w:val="outset" w:color="333333" w:sz="6" w:space="0"/>
              <w:left w:val="outset" w:color="333333" w:sz="6" w:space="0"/>
              <w:bottom w:val="outset" w:color="333333" w:sz="6" w:space="0"/>
              <w:right w:val="outset" w:color="333333" w:sz="6" w:space="0"/>
            </w:tcBorders>
            <w:vAlign w:val="center"/>
          </w:tcPr>
          <w:p>
            <w:pPr>
              <w:widowControl/>
              <w:spacing w:line="0" w:lineRule="atLeast"/>
              <w:jc w:val="left"/>
              <w:rPr>
                <w:kern w:val="0"/>
                <w:sz w:val="18"/>
                <w:szCs w:val="18"/>
              </w:rPr>
            </w:pPr>
          </w:p>
        </w:tc>
        <w:tc>
          <w:tcPr>
            <w:tcW w:w="1380"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rFonts w:hAnsi="宋体"/>
                <w:kern w:val="0"/>
                <w:sz w:val="18"/>
                <w:szCs w:val="18"/>
              </w:rPr>
              <w:t>安装工程</w:t>
            </w:r>
            <w:r>
              <w:rPr>
                <w:kern w:val="0"/>
                <w:sz w:val="18"/>
                <w:szCs w:val="18"/>
              </w:rPr>
              <w:t xml:space="preserve"> </w:t>
            </w:r>
          </w:p>
        </w:tc>
        <w:tc>
          <w:tcPr>
            <w:tcW w:w="929"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5.0</w:t>
            </w:r>
          </w:p>
        </w:tc>
        <w:tc>
          <w:tcPr>
            <w:tcW w:w="78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4.6</w:t>
            </w:r>
          </w:p>
        </w:tc>
        <w:tc>
          <w:tcPr>
            <w:tcW w:w="806"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4.0</w:t>
            </w:r>
          </w:p>
        </w:tc>
        <w:tc>
          <w:tcPr>
            <w:tcW w:w="881"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3.6</w:t>
            </w:r>
          </w:p>
        </w:tc>
        <w:tc>
          <w:tcPr>
            <w:tcW w:w="78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3.1</w:t>
            </w:r>
          </w:p>
        </w:tc>
        <w:tc>
          <w:tcPr>
            <w:tcW w:w="61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2.9</w:t>
            </w:r>
          </w:p>
        </w:tc>
        <w:tc>
          <w:tcPr>
            <w:tcW w:w="600"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2.6</w:t>
            </w:r>
          </w:p>
        </w:tc>
        <w:tc>
          <w:tcPr>
            <w:tcW w:w="657"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2.4</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fixed"/>
          <w:tblCellMar>
            <w:top w:w="0" w:type="dxa"/>
            <w:left w:w="0" w:type="dxa"/>
            <w:bottom w:w="0" w:type="dxa"/>
            <w:right w:w="0" w:type="dxa"/>
          </w:tblCellMar>
        </w:tblPrEx>
        <w:trPr>
          <w:trHeight w:val="378" w:hRule="atLeast"/>
          <w:tblCellSpacing w:w="0" w:type="dxa"/>
        </w:trPr>
        <w:tc>
          <w:tcPr>
            <w:tcW w:w="492" w:type="dxa"/>
            <w:vMerge w:val="continue"/>
            <w:tcBorders>
              <w:top w:val="outset" w:color="333333" w:sz="6" w:space="0"/>
              <w:left w:val="outset" w:color="333333" w:sz="6" w:space="0"/>
              <w:bottom w:val="outset" w:color="333333" w:sz="6" w:space="0"/>
              <w:right w:val="outset" w:color="333333" w:sz="6" w:space="0"/>
            </w:tcBorders>
            <w:vAlign w:val="center"/>
          </w:tcPr>
          <w:p>
            <w:pPr>
              <w:widowControl/>
              <w:spacing w:line="0" w:lineRule="atLeast"/>
              <w:jc w:val="left"/>
              <w:rPr>
                <w:kern w:val="0"/>
                <w:sz w:val="18"/>
                <w:szCs w:val="18"/>
              </w:rPr>
            </w:pPr>
          </w:p>
        </w:tc>
        <w:tc>
          <w:tcPr>
            <w:tcW w:w="612" w:type="dxa"/>
            <w:vMerge w:val="restart"/>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rFonts w:hAnsi="宋体"/>
                <w:kern w:val="0"/>
                <w:sz w:val="18"/>
                <w:szCs w:val="18"/>
              </w:rPr>
              <w:t>控制价（标底价）</w:t>
            </w:r>
            <w:r>
              <w:rPr>
                <w:kern w:val="0"/>
                <w:sz w:val="18"/>
                <w:szCs w:val="18"/>
              </w:rPr>
              <w:t xml:space="preserve"> </w:t>
            </w:r>
          </w:p>
        </w:tc>
        <w:tc>
          <w:tcPr>
            <w:tcW w:w="847" w:type="dxa"/>
            <w:vMerge w:val="restart"/>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rFonts w:hAnsi="宋体"/>
                <w:kern w:val="0"/>
                <w:sz w:val="18"/>
                <w:szCs w:val="18"/>
              </w:rPr>
              <w:t>中标价</w:t>
            </w:r>
            <w:r>
              <w:rPr>
                <w:kern w:val="0"/>
                <w:sz w:val="18"/>
                <w:szCs w:val="18"/>
              </w:rPr>
              <w:t xml:space="preserve"> </w:t>
            </w:r>
          </w:p>
        </w:tc>
        <w:tc>
          <w:tcPr>
            <w:tcW w:w="1380"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rFonts w:hAnsi="宋体"/>
                <w:kern w:val="0"/>
                <w:sz w:val="18"/>
                <w:szCs w:val="18"/>
              </w:rPr>
              <w:t>建筑工程</w:t>
            </w:r>
            <w:r>
              <w:rPr>
                <w:kern w:val="0"/>
                <w:sz w:val="18"/>
                <w:szCs w:val="18"/>
              </w:rPr>
              <w:t xml:space="preserve"> </w:t>
            </w:r>
          </w:p>
        </w:tc>
        <w:tc>
          <w:tcPr>
            <w:tcW w:w="929"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2.0</w:t>
            </w:r>
          </w:p>
        </w:tc>
        <w:tc>
          <w:tcPr>
            <w:tcW w:w="78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1.8</w:t>
            </w:r>
          </w:p>
        </w:tc>
        <w:tc>
          <w:tcPr>
            <w:tcW w:w="806"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1.6</w:t>
            </w:r>
          </w:p>
        </w:tc>
        <w:tc>
          <w:tcPr>
            <w:tcW w:w="881"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1.4</w:t>
            </w:r>
          </w:p>
        </w:tc>
        <w:tc>
          <w:tcPr>
            <w:tcW w:w="78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1.3</w:t>
            </w:r>
          </w:p>
        </w:tc>
        <w:tc>
          <w:tcPr>
            <w:tcW w:w="61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1.2</w:t>
            </w:r>
          </w:p>
        </w:tc>
        <w:tc>
          <w:tcPr>
            <w:tcW w:w="600"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1.1</w:t>
            </w:r>
          </w:p>
        </w:tc>
        <w:tc>
          <w:tcPr>
            <w:tcW w:w="657"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1.0</w:t>
            </w:r>
          </w:p>
        </w:tc>
      </w:tr>
      <w:tr>
        <w:tblPrEx>
          <w:tblBorders>
            <w:top w:val="outset" w:color="333333" w:sz="6" w:space="0"/>
            <w:left w:val="outset" w:color="333333" w:sz="6" w:space="0"/>
            <w:bottom w:val="outset" w:color="333333" w:sz="6" w:space="0"/>
            <w:right w:val="outset" w:color="333333" w:sz="6" w:space="0"/>
            <w:insideH w:val="none" w:color="auto" w:sz="0" w:space="0"/>
            <w:insideV w:val="none" w:color="auto" w:sz="0" w:space="0"/>
          </w:tblBorders>
          <w:tblLayout w:type="fixed"/>
          <w:tblCellMar>
            <w:top w:w="0" w:type="dxa"/>
            <w:left w:w="0" w:type="dxa"/>
            <w:bottom w:w="0" w:type="dxa"/>
            <w:right w:w="0" w:type="dxa"/>
          </w:tblCellMar>
        </w:tblPrEx>
        <w:trPr>
          <w:trHeight w:val="438" w:hRule="atLeast"/>
          <w:tblCellSpacing w:w="0" w:type="dxa"/>
        </w:trPr>
        <w:tc>
          <w:tcPr>
            <w:tcW w:w="492" w:type="dxa"/>
            <w:vMerge w:val="continue"/>
            <w:tcBorders>
              <w:top w:val="outset" w:color="333333" w:sz="6" w:space="0"/>
              <w:left w:val="outset" w:color="333333" w:sz="6" w:space="0"/>
              <w:bottom w:val="outset" w:color="333333" w:sz="6" w:space="0"/>
              <w:right w:val="outset" w:color="333333" w:sz="6" w:space="0"/>
            </w:tcBorders>
            <w:vAlign w:val="center"/>
          </w:tcPr>
          <w:p>
            <w:pPr>
              <w:widowControl/>
              <w:spacing w:line="0" w:lineRule="atLeast"/>
              <w:jc w:val="left"/>
              <w:rPr>
                <w:kern w:val="0"/>
                <w:sz w:val="18"/>
                <w:szCs w:val="18"/>
              </w:rPr>
            </w:pPr>
          </w:p>
        </w:tc>
        <w:tc>
          <w:tcPr>
            <w:tcW w:w="612" w:type="dxa"/>
            <w:vMerge w:val="continue"/>
            <w:tcBorders>
              <w:top w:val="outset" w:color="333333" w:sz="6" w:space="0"/>
              <w:left w:val="outset" w:color="333333" w:sz="6" w:space="0"/>
              <w:bottom w:val="outset" w:color="333333" w:sz="6" w:space="0"/>
              <w:right w:val="outset" w:color="333333" w:sz="6" w:space="0"/>
            </w:tcBorders>
            <w:vAlign w:val="center"/>
          </w:tcPr>
          <w:p>
            <w:pPr>
              <w:widowControl/>
              <w:spacing w:line="0" w:lineRule="atLeast"/>
              <w:jc w:val="left"/>
              <w:rPr>
                <w:kern w:val="0"/>
                <w:sz w:val="18"/>
                <w:szCs w:val="18"/>
              </w:rPr>
            </w:pPr>
          </w:p>
        </w:tc>
        <w:tc>
          <w:tcPr>
            <w:tcW w:w="847" w:type="dxa"/>
            <w:vMerge w:val="continue"/>
            <w:tcBorders>
              <w:top w:val="outset" w:color="333333" w:sz="6" w:space="0"/>
              <w:left w:val="outset" w:color="333333" w:sz="6" w:space="0"/>
              <w:bottom w:val="outset" w:color="333333" w:sz="6" w:space="0"/>
              <w:right w:val="outset" w:color="333333" w:sz="6" w:space="0"/>
            </w:tcBorders>
            <w:vAlign w:val="center"/>
          </w:tcPr>
          <w:p>
            <w:pPr>
              <w:widowControl/>
              <w:spacing w:line="0" w:lineRule="atLeast"/>
              <w:jc w:val="left"/>
              <w:rPr>
                <w:kern w:val="0"/>
                <w:sz w:val="18"/>
                <w:szCs w:val="18"/>
              </w:rPr>
            </w:pPr>
          </w:p>
        </w:tc>
        <w:tc>
          <w:tcPr>
            <w:tcW w:w="1380"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rFonts w:hAnsi="宋体"/>
                <w:kern w:val="0"/>
                <w:sz w:val="18"/>
                <w:szCs w:val="18"/>
              </w:rPr>
              <w:t>安装工程</w:t>
            </w:r>
            <w:r>
              <w:rPr>
                <w:kern w:val="0"/>
                <w:sz w:val="18"/>
                <w:szCs w:val="18"/>
              </w:rPr>
              <w:t xml:space="preserve"> </w:t>
            </w:r>
          </w:p>
        </w:tc>
        <w:tc>
          <w:tcPr>
            <w:tcW w:w="929"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2.1</w:t>
            </w:r>
          </w:p>
        </w:tc>
        <w:tc>
          <w:tcPr>
            <w:tcW w:w="78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1.9</w:t>
            </w:r>
          </w:p>
        </w:tc>
        <w:tc>
          <w:tcPr>
            <w:tcW w:w="806"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1.7</w:t>
            </w:r>
          </w:p>
        </w:tc>
        <w:tc>
          <w:tcPr>
            <w:tcW w:w="881"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1.6</w:t>
            </w:r>
          </w:p>
        </w:tc>
        <w:tc>
          <w:tcPr>
            <w:tcW w:w="78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1.4</w:t>
            </w:r>
          </w:p>
        </w:tc>
        <w:tc>
          <w:tcPr>
            <w:tcW w:w="618"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1.3</w:t>
            </w:r>
          </w:p>
        </w:tc>
        <w:tc>
          <w:tcPr>
            <w:tcW w:w="600"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1.2</w:t>
            </w:r>
          </w:p>
        </w:tc>
        <w:tc>
          <w:tcPr>
            <w:tcW w:w="657" w:type="dxa"/>
            <w:tcBorders>
              <w:top w:val="outset" w:color="333333" w:sz="6" w:space="0"/>
              <w:left w:val="outset" w:color="333333" w:sz="6" w:space="0"/>
              <w:bottom w:val="outset" w:color="333333" w:sz="6" w:space="0"/>
              <w:right w:val="outset" w:color="333333" w:sz="6" w:space="0"/>
            </w:tcBorders>
            <w:vAlign w:val="center"/>
          </w:tcPr>
          <w:p>
            <w:pPr>
              <w:widowControl/>
              <w:spacing w:before="100" w:beforeAutospacing="1" w:after="100" w:afterAutospacing="1" w:line="0" w:lineRule="atLeast"/>
              <w:jc w:val="center"/>
              <w:rPr>
                <w:kern w:val="0"/>
                <w:sz w:val="18"/>
                <w:szCs w:val="18"/>
              </w:rPr>
            </w:pPr>
            <w:r>
              <w:rPr>
                <w:kern w:val="0"/>
                <w:sz w:val="18"/>
                <w:szCs w:val="18"/>
              </w:rPr>
              <w:t>1.1</w:t>
            </w:r>
          </w:p>
        </w:tc>
      </w:tr>
    </w:tbl>
    <w:p>
      <w:pPr>
        <w:spacing w:line="240" w:lineRule="auto"/>
        <w:rPr>
          <w:rFonts w:hint="eastAsia"/>
          <w:sz w:val="28"/>
          <w:szCs w:val="28"/>
          <w:lang w:eastAsia="zh-CN"/>
        </w:rPr>
      </w:pPr>
      <w:r>
        <w:rPr>
          <w:rFonts w:hint="eastAsia"/>
          <w:sz w:val="28"/>
          <w:szCs w:val="28"/>
          <w:lang w:eastAsia="zh-CN"/>
        </w:rPr>
        <w:t>附表</w:t>
      </w:r>
      <w:r>
        <w:rPr>
          <w:rFonts w:hint="eastAsia"/>
          <w:sz w:val="28"/>
          <w:szCs w:val="28"/>
          <w:lang w:val="en-US" w:eastAsia="zh-CN"/>
        </w:rPr>
        <w:t>2</w:t>
      </w:r>
      <w:r>
        <w:rPr>
          <w:rFonts w:hint="eastAsia"/>
          <w:sz w:val="28"/>
          <w:szCs w:val="28"/>
          <w:lang w:eastAsia="zh-CN"/>
        </w:rPr>
        <w:t>：安徽省建设工程造价咨询服务项目及收费标准</w:t>
      </w:r>
    </w:p>
    <w:p/>
    <w:p>
      <w:pPr>
        <w:adjustRightInd w:val="0"/>
        <w:snapToGrid w:val="0"/>
        <w:spacing w:line="360" w:lineRule="auto"/>
        <w:ind w:left="423" w:leftChars="200" w:hanging="3"/>
        <w:rPr>
          <w:rFonts w:ascii="宋体" w:hAnsi="宋体" w:cs="宋体"/>
          <w:b/>
          <w:sz w:val="24"/>
        </w:rPr>
      </w:pPr>
      <w:r>
        <w:rPr>
          <w:rFonts w:hint="eastAsia" w:ascii="宋体" w:hAnsi="宋体" w:cs="宋体"/>
          <w:b/>
          <w:sz w:val="24"/>
        </w:rPr>
        <w:t>9、    投标货币</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本项目投标须以 人民币 报价。</w:t>
      </w:r>
      <w:bookmarkStart w:id="22" w:name="_Toc463678577"/>
      <w:bookmarkStart w:id="23" w:name="_Toc468208428"/>
    </w:p>
    <w:p>
      <w:pPr>
        <w:pStyle w:val="3"/>
        <w:adjustRightInd w:val="0"/>
        <w:snapToGrid w:val="0"/>
        <w:ind w:left="423" w:leftChars="200" w:hanging="3"/>
        <w:rPr>
          <w:rFonts w:ascii="宋体" w:hAnsi="宋体" w:eastAsia="宋体" w:cs="宋体"/>
        </w:rPr>
      </w:pPr>
      <w:bookmarkStart w:id="24" w:name="_Toc30384"/>
      <w:bookmarkStart w:id="25" w:name="_Toc19815"/>
      <w:r>
        <w:rPr>
          <w:rFonts w:hint="eastAsia" w:ascii="宋体" w:hAnsi="宋体" w:eastAsia="宋体" w:cs="宋体"/>
        </w:rPr>
        <w:t>（五）投标文件的递交</w:t>
      </w:r>
      <w:bookmarkEnd w:id="22"/>
      <w:bookmarkEnd w:id="23"/>
      <w:bookmarkEnd w:id="24"/>
      <w:bookmarkEnd w:id="25"/>
    </w:p>
    <w:p>
      <w:pPr>
        <w:adjustRightInd w:val="0"/>
        <w:snapToGrid w:val="0"/>
        <w:spacing w:line="360" w:lineRule="auto"/>
        <w:ind w:left="423" w:leftChars="200" w:hanging="3"/>
        <w:rPr>
          <w:rFonts w:ascii="宋体" w:hAnsi="宋体" w:cs="宋体"/>
          <w:sz w:val="24"/>
        </w:rPr>
      </w:pPr>
      <w:r>
        <w:rPr>
          <w:rFonts w:hint="eastAsia" w:ascii="宋体" w:hAnsi="宋体" w:cs="宋体"/>
          <w:sz w:val="24"/>
        </w:rPr>
        <w:t>10、   投标文件的密封和标记</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10.1 投标人应将投标文件正本单独装在一个密封袋中，所有副本再封装在一个密封袋中，且在文件的右上角标明“正本”或“副本”的字样。在骑缝处上加盖投标人公章和法定代表人印鉴。当投标书正本和副本内容不一致时，以正本内容为准，投标人应无异议，否则按废标论处。</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10.2 内外层密封袋均应：</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(A) 按“投标人须知前附表”序号25注明的开标地点递交；</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(B) 投标截止时间同“投标人须知前附表”序号24注明的开标时间；</w:t>
      </w:r>
    </w:p>
    <w:p>
      <w:pPr>
        <w:adjustRightInd w:val="0"/>
        <w:snapToGrid w:val="0"/>
        <w:spacing w:line="360" w:lineRule="auto"/>
        <w:ind w:left="423" w:leftChars="200" w:hanging="3"/>
        <w:jc w:val="left"/>
        <w:rPr>
          <w:rFonts w:ascii="宋体" w:hAnsi="宋体" w:cs="宋体"/>
          <w:sz w:val="24"/>
        </w:rPr>
      </w:pPr>
      <w:r>
        <w:rPr>
          <w:rFonts w:hint="eastAsia" w:ascii="宋体" w:hAnsi="宋体" w:cs="宋体"/>
          <w:sz w:val="24"/>
        </w:rPr>
        <w:t>(C) 注明项目名称、招标编号、正本或副本及“请勿在 ××时间之前开启（开标时间，详见“投标人须知前附表”序号24的规定）”的字样。</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(D) 注明投标单位名称和地址。</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11、   迟交的投标文件</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11.1招标人在规定的投标截止时间以后收到的投标文件，将被拒绝并退回给投标人。</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12、   投标文件的有效性</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12.1开标时，投标文件出现下列情形之一的，应当作为无效投标文件，不得进入评标程序。</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12.1.1投标文件未按照招标文件的要求装订、密封和标记的；</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12.1.2投标文件有关内容未按招标文件要求加盖投标人印章或未经法定代表人签字或盖章的； </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12.1.3投标文件的关键内容字迹模糊、无法辨认的；</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12.1.4投标人未按照招标文件的要求提供投标保证金的；</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12.1.5投标人投标工期超过招标文件规定工期的。</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13、   投标文件的修改和撤回</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13.1投标人在提交投标文件以后，在规定的投标截止时间之前，可以以书面形式补充、修改或撤回已提交的投标文件，并以书面形式通知招标人。补充、修改的内容为投标文件的组成部分。</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13.2投标人对投标文件的补充、修改或撤回通知，应按须知10条有关规定密封、标记和提交，并在投标文件密封袋上清楚标明“补充、修改”或“撤回”字样。否则，补充、修改或撤回通知无效。</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13.3在投标截止时间之后，投标人不得补充、修改投标文件。</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14、履约保证</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14.1履约担保</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合同协议书签署前，中标人应按投标须知前附表的规定提交履约保证金 ，中标人拒绝提交履约保证金的，视为放弃中标资格，招标人将有充分的理由不与其签订合同，给招标人造成损失的，中标人应予以赔偿并承担相应的法律责任。</w:t>
      </w:r>
    </w:p>
    <w:p>
      <w:pPr>
        <w:adjustRightInd w:val="0"/>
        <w:snapToGrid w:val="0"/>
        <w:spacing w:line="360" w:lineRule="auto"/>
        <w:ind w:left="423" w:leftChars="200" w:hanging="3"/>
        <w:rPr>
          <w:rFonts w:ascii="宋体" w:hAnsi="宋体" w:cs="宋体"/>
          <w:sz w:val="24"/>
        </w:rPr>
      </w:pPr>
    </w:p>
    <w:p>
      <w:pPr>
        <w:adjustRightInd w:val="0"/>
        <w:snapToGrid w:val="0"/>
        <w:spacing w:line="360" w:lineRule="auto"/>
        <w:ind w:left="423" w:leftChars="200" w:hanging="3"/>
        <w:rPr>
          <w:rFonts w:ascii="宋体" w:hAnsi="宋体" w:cs="宋体"/>
          <w:sz w:val="24"/>
        </w:rPr>
      </w:pPr>
      <w:r>
        <w:rPr>
          <w:rFonts w:hint="eastAsia" w:ascii="宋体" w:hAnsi="宋体" w:cs="宋体"/>
          <w:sz w:val="24"/>
        </w:rPr>
        <w:t>14.2履约保证金退还</w:t>
      </w:r>
    </w:p>
    <w:p>
      <w:pPr>
        <w:adjustRightInd w:val="0"/>
        <w:snapToGrid w:val="0"/>
        <w:spacing w:line="360" w:lineRule="auto"/>
        <w:ind w:left="423" w:leftChars="200" w:hanging="3"/>
        <w:rPr>
          <w:rFonts w:ascii="宋体" w:hAnsi="宋体" w:cs="宋体"/>
          <w:b/>
          <w:color w:val="FF0000"/>
          <w:sz w:val="40"/>
          <w:szCs w:val="40"/>
        </w:rPr>
      </w:pPr>
      <w:r>
        <w:rPr>
          <w:rFonts w:hint="eastAsia" w:ascii="宋体" w:hAnsi="宋体" w:cs="宋体"/>
          <w:b/>
          <w:color w:val="FF0000"/>
          <w:sz w:val="24"/>
        </w:rPr>
        <w:t>中标人未发生招标文件和合同约定的违约情形，工程竣工验收后，可凭建设工程项目竣工验收报告（初验报告或单位工程验收报告或交工验收报告）等材料，向履约保证金管理单位提出退还履约保证金的申请。履约保证金管理单位应当从收到申请及相关材料之日起30日内，将履约保证金退还中标人。</w:t>
      </w:r>
      <w:bookmarkEnd w:id="8"/>
    </w:p>
    <w:p>
      <w:pPr>
        <w:adjustRightInd w:val="0"/>
        <w:snapToGrid w:val="0"/>
        <w:rPr>
          <w:rFonts w:ascii="宋体" w:hAnsi="宋体" w:cs="宋体"/>
          <w:sz w:val="40"/>
          <w:szCs w:val="40"/>
        </w:rPr>
      </w:pPr>
      <w:bookmarkStart w:id="26" w:name="_Toc25456"/>
      <w:bookmarkStart w:id="27" w:name="_Toc720"/>
      <w:r>
        <w:rPr>
          <w:rFonts w:hint="eastAsia" w:ascii="宋体" w:hAnsi="宋体" w:cs="宋体"/>
          <w:sz w:val="40"/>
          <w:szCs w:val="40"/>
        </w:rPr>
        <w:br w:type="page"/>
      </w:r>
    </w:p>
    <w:p>
      <w:pPr>
        <w:pStyle w:val="2"/>
        <w:numPr>
          <w:ilvl w:val="0"/>
          <w:numId w:val="0"/>
        </w:numPr>
        <w:adjustRightInd w:val="0"/>
        <w:snapToGrid w:val="0"/>
        <w:spacing w:line="360" w:lineRule="auto"/>
        <w:rPr>
          <w:rFonts w:ascii="宋体" w:hAnsi="宋体" w:eastAsia="宋体" w:cs="宋体"/>
          <w:sz w:val="40"/>
          <w:szCs w:val="40"/>
        </w:rPr>
      </w:pPr>
      <w:bookmarkStart w:id="28" w:name="_Toc15826"/>
      <w:r>
        <w:rPr>
          <w:rFonts w:hint="eastAsia" w:ascii="宋体" w:hAnsi="宋体" w:eastAsia="宋体" w:cs="宋体"/>
          <w:sz w:val="40"/>
          <w:szCs w:val="40"/>
        </w:rPr>
        <w:t>第三章  评标办法</w:t>
      </w:r>
      <w:bookmarkEnd w:id="26"/>
      <w:bookmarkEnd w:id="27"/>
      <w:bookmarkEnd w:id="28"/>
    </w:p>
    <w:p>
      <w:pPr>
        <w:adjustRightInd w:val="0"/>
        <w:snapToGrid w:val="0"/>
        <w:spacing w:line="360" w:lineRule="auto"/>
        <w:jc w:val="center"/>
        <w:rPr>
          <w:rFonts w:ascii="宋体" w:hAnsi="宋体" w:cs="宋体"/>
          <w:sz w:val="24"/>
        </w:rPr>
      </w:pPr>
      <w:r>
        <w:rPr>
          <w:rFonts w:hint="eastAsia" w:ascii="宋体" w:hAnsi="宋体" w:cs="宋体"/>
          <w:sz w:val="24"/>
        </w:rPr>
        <w:t>评标办法前附表</w:t>
      </w:r>
    </w:p>
    <w:p>
      <w:pPr>
        <w:adjustRightInd w:val="0"/>
        <w:snapToGrid w:val="0"/>
        <w:spacing w:line="360" w:lineRule="auto"/>
        <w:jc w:val="center"/>
        <w:rPr>
          <w:rFonts w:ascii="宋体" w:hAnsi="宋体" w:cs="宋体"/>
          <w:b/>
          <w:bCs/>
          <w:sz w:val="24"/>
        </w:rPr>
      </w:pPr>
      <w:r>
        <w:rPr>
          <w:rFonts w:hint="eastAsia" w:ascii="宋体" w:hAnsi="宋体" w:cs="宋体"/>
          <w:sz w:val="24"/>
        </w:rPr>
        <w:t>符合性评审指标表</w:t>
      </w:r>
    </w:p>
    <w:tbl>
      <w:tblPr>
        <w:tblStyle w:val="23"/>
        <w:tblW w:w="9630" w:type="dxa"/>
        <w:jc w:val="center"/>
        <w:tblInd w:w="0" w:type="dxa"/>
        <w:tblLayout w:type="fixed"/>
        <w:tblCellMar>
          <w:top w:w="0" w:type="dxa"/>
          <w:left w:w="108" w:type="dxa"/>
          <w:bottom w:w="0" w:type="dxa"/>
          <w:right w:w="108" w:type="dxa"/>
        </w:tblCellMar>
      </w:tblPr>
      <w:tblGrid>
        <w:gridCol w:w="548"/>
        <w:gridCol w:w="1912"/>
        <w:gridCol w:w="7170"/>
      </w:tblGrid>
      <w:tr>
        <w:tblPrEx>
          <w:tblLayout w:type="fixed"/>
          <w:tblCellMar>
            <w:top w:w="0" w:type="dxa"/>
            <w:left w:w="108" w:type="dxa"/>
            <w:bottom w:w="0" w:type="dxa"/>
            <w:right w:w="108" w:type="dxa"/>
          </w:tblCellMar>
        </w:tblPrEx>
        <w:trPr>
          <w:jc w:val="center"/>
        </w:trPr>
        <w:tc>
          <w:tcPr>
            <w:tcW w:w="5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
                <w:sz w:val="24"/>
              </w:rPr>
            </w:pPr>
            <w:r>
              <w:rPr>
                <w:rFonts w:hint="eastAsia" w:ascii="宋体" w:hAnsi="宋体" w:cs="宋体"/>
                <w:b/>
                <w:sz w:val="24"/>
              </w:rPr>
              <w:t>序号</w:t>
            </w:r>
          </w:p>
        </w:tc>
        <w:tc>
          <w:tcPr>
            <w:tcW w:w="191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
                <w:sz w:val="24"/>
              </w:rPr>
            </w:pPr>
            <w:r>
              <w:rPr>
                <w:rFonts w:hint="eastAsia" w:ascii="宋体" w:hAnsi="宋体" w:cs="宋体"/>
                <w:b/>
                <w:sz w:val="24"/>
              </w:rPr>
              <w:t>评审因素</w:t>
            </w:r>
          </w:p>
        </w:tc>
        <w:tc>
          <w:tcPr>
            <w:tcW w:w="717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jc w:val="center"/>
              <w:rPr>
                <w:rFonts w:ascii="宋体" w:hAnsi="宋体" w:cs="宋体"/>
                <w:b/>
                <w:sz w:val="24"/>
              </w:rPr>
            </w:pPr>
            <w:r>
              <w:rPr>
                <w:rFonts w:hint="eastAsia" w:ascii="宋体" w:hAnsi="宋体" w:cs="宋体"/>
                <w:b/>
                <w:sz w:val="24"/>
              </w:rPr>
              <w:t>评审标准</w:t>
            </w:r>
          </w:p>
        </w:tc>
      </w:tr>
      <w:tr>
        <w:tblPrEx>
          <w:tblLayout w:type="fixed"/>
          <w:tblCellMar>
            <w:top w:w="0" w:type="dxa"/>
            <w:left w:w="108" w:type="dxa"/>
            <w:bottom w:w="0" w:type="dxa"/>
            <w:right w:w="108" w:type="dxa"/>
          </w:tblCellMar>
        </w:tblPrEx>
        <w:trPr>
          <w:trHeight w:val="525"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1</w:t>
            </w:r>
          </w:p>
        </w:tc>
        <w:tc>
          <w:tcPr>
            <w:tcW w:w="191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营业执照</w:t>
            </w:r>
          </w:p>
        </w:tc>
        <w:tc>
          <w:tcPr>
            <w:tcW w:w="7170"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sz w:val="24"/>
              </w:rPr>
            </w:pPr>
            <w:r>
              <w:rPr>
                <w:rFonts w:hint="eastAsia" w:ascii="宋体" w:hAnsi="宋体" w:cs="宋体"/>
                <w:sz w:val="24"/>
              </w:rPr>
              <w:t>具备有效的营业执照，提供原件或复印件加盖公章，评标现场查验。</w:t>
            </w:r>
          </w:p>
        </w:tc>
      </w:tr>
      <w:tr>
        <w:tblPrEx>
          <w:tblLayout w:type="fixed"/>
          <w:tblCellMar>
            <w:top w:w="0" w:type="dxa"/>
            <w:left w:w="108" w:type="dxa"/>
            <w:bottom w:w="0" w:type="dxa"/>
            <w:right w:w="108" w:type="dxa"/>
          </w:tblCellMar>
        </w:tblPrEx>
        <w:trPr>
          <w:trHeight w:val="525"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2</w:t>
            </w:r>
          </w:p>
        </w:tc>
        <w:tc>
          <w:tcPr>
            <w:tcW w:w="191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投标单位名称的一致性要求</w:t>
            </w:r>
          </w:p>
        </w:tc>
        <w:tc>
          <w:tcPr>
            <w:tcW w:w="7170"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sz w:val="24"/>
              </w:rPr>
            </w:pPr>
            <w:r>
              <w:rPr>
                <w:rFonts w:hint="eastAsia" w:ascii="宋体" w:hAnsi="宋体" w:cs="宋体"/>
                <w:sz w:val="24"/>
              </w:rPr>
              <w:t>与营业执照、资质证书、安全生产许可证一致</w:t>
            </w:r>
          </w:p>
        </w:tc>
      </w:tr>
      <w:tr>
        <w:tblPrEx>
          <w:tblLayout w:type="fixed"/>
          <w:tblCellMar>
            <w:top w:w="0" w:type="dxa"/>
            <w:left w:w="108" w:type="dxa"/>
            <w:bottom w:w="0" w:type="dxa"/>
            <w:right w:w="108" w:type="dxa"/>
          </w:tblCellMar>
        </w:tblPrEx>
        <w:trPr>
          <w:trHeight w:val="525"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3</w:t>
            </w:r>
          </w:p>
        </w:tc>
        <w:tc>
          <w:tcPr>
            <w:tcW w:w="191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资格资质要求</w:t>
            </w:r>
          </w:p>
        </w:tc>
        <w:tc>
          <w:tcPr>
            <w:tcW w:w="7170"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sz w:val="24"/>
              </w:rPr>
            </w:pPr>
            <w:r>
              <w:rPr>
                <w:rFonts w:hint="eastAsia" w:ascii="宋体" w:hAnsi="宋体" w:cs="宋体"/>
                <w:sz w:val="24"/>
              </w:rPr>
              <w:t>投标人须具备消防设施工程专业承包</w:t>
            </w:r>
            <w:r>
              <w:rPr>
                <w:rFonts w:hint="eastAsia" w:ascii="宋体" w:hAnsi="宋体" w:cs="宋体"/>
                <w:color w:val="FF0000"/>
                <w:sz w:val="24"/>
              </w:rPr>
              <w:t>壹级</w:t>
            </w:r>
            <w:r>
              <w:rPr>
                <w:rFonts w:hint="eastAsia" w:ascii="宋体" w:hAnsi="宋体" w:cs="宋体"/>
                <w:sz w:val="24"/>
              </w:rPr>
              <w:t>及以上资质，具备有效的安全生产许可证</w:t>
            </w:r>
          </w:p>
        </w:tc>
      </w:tr>
      <w:tr>
        <w:tblPrEx>
          <w:tblLayout w:type="fixed"/>
          <w:tblCellMar>
            <w:top w:w="0" w:type="dxa"/>
            <w:left w:w="108" w:type="dxa"/>
            <w:bottom w:w="0" w:type="dxa"/>
            <w:right w:w="108" w:type="dxa"/>
          </w:tblCellMar>
        </w:tblPrEx>
        <w:trPr>
          <w:trHeight w:val="1100"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4</w:t>
            </w:r>
          </w:p>
        </w:tc>
        <w:tc>
          <w:tcPr>
            <w:tcW w:w="191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授权委托书及</w:t>
            </w:r>
          </w:p>
          <w:p>
            <w:pPr>
              <w:adjustRightInd w:val="0"/>
              <w:snapToGrid w:val="0"/>
              <w:spacing w:line="440" w:lineRule="exact"/>
              <w:rPr>
                <w:rFonts w:ascii="宋体" w:hAnsi="宋体" w:cs="宋体"/>
                <w:sz w:val="24"/>
              </w:rPr>
            </w:pPr>
            <w:r>
              <w:rPr>
                <w:rFonts w:hint="eastAsia" w:ascii="宋体" w:hAnsi="宋体" w:cs="宋体"/>
                <w:sz w:val="24"/>
              </w:rPr>
              <w:t>授权代理人身份证</w:t>
            </w:r>
          </w:p>
        </w:tc>
        <w:tc>
          <w:tcPr>
            <w:tcW w:w="7170"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sz w:val="24"/>
              </w:rPr>
            </w:pPr>
            <w:r>
              <w:rPr>
                <w:rFonts w:hint="eastAsia" w:ascii="宋体" w:hAnsi="宋体" w:cs="宋体"/>
                <w:sz w:val="24"/>
              </w:rPr>
              <w:t>若法人代表本人参加开标会则只需查验身份证；若委托代理人参加开标会则需查验授权委托书、委托代理人居民身份证。（需现场提供原件）</w:t>
            </w:r>
          </w:p>
        </w:tc>
      </w:tr>
      <w:tr>
        <w:tblPrEx>
          <w:tblLayout w:type="fixed"/>
          <w:tblCellMar>
            <w:top w:w="0" w:type="dxa"/>
            <w:left w:w="108" w:type="dxa"/>
            <w:bottom w:w="0" w:type="dxa"/>
            <w:right w:w="108" w:type="dxa"/>
          </w:tblCellMar>
        </w:tblPrEx>
        <w:trPr>
          <w:trHeight w:val="525"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5</w:t>
            </w:r>
          </w:p>
        </w:tc>
        <w:tc>
          <w:tcPr>
            <w:tcW w:w="191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投标文件签字盖章要求</w:t>
            </w:r>
          </w:p>
        </w:tc>
        <w:tc>
          <w:tcPr>
            <w:tcW w:w="7170" w:type="dxa"/>
            <w:tcBorders>
              <w:top w:val="single" w:color="auto" w:sz="4" w:space="0"/>
              <w:left w:val="single" w:color="auto" w:sz="4" w:space="0"/>
              <w:bottom w:val="single" w:color="auto" w:sz="4" w:space="0"/>
              <w:right w:val="single" w:color="auto" w:sz="4" w:space="0"/>
            </w:tcBorders>
          </w:tcPr>
          <w:p>
            <w:pPr>
              <w:adjustRightInd w:val="0"/>
              <w:snapToGrid w:val="0"/>
              <w:spacing w:line="440" w:lineRule="exact"/>
              <w:rPr>
                <w:rFonts w:ascii="宋体" w:hAnsi="宋体" w:cs="宋体"/>
                <w:sz w:val="24"/>
              </w:rPr>
            </w:pPr>
            <w:r>
              <w:rPr>
                <w:rFonts w:hint="eastAsia" w:ascii="宋体" w:hAnsi="宋体" w:cs="宋体"/>
                <w:bCs/>
                <w:sz w:val="24"/>
              </w:rPr>
              <w:t>投标文件应按招标文件规定加盖投标单位印章并经投标单位负责人或其授权的代理人签字或盖章。</w:t>
            </w:r>
          </w:p>
        </w:tc>
      </w:tr>
      <w:tr>
        <w:tblPrEx>
          <w:tblLayout w:type="fixed"/>
          <w:tblCellMar>
            <w:top w:w="0" w:type="dxa"/>
            <w:left w:w="108" w:type="dxa"/>
            <w:bottom w:w="0" w:type="dxa"/>
            <w:right w:w="108" w:type="dxa"/>
          </w:tblCellMar>
        </w:tblPrEx>
        <w:trPr>
          <w:trHeight w:val="636"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6</w:t>
            </w:r>
          </w:p>
        </w:tc>
        <w:tc>
          <w:tcPr>
            <w:tcW w:w="191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rPr>
                <w:rFonts w:ascii="宋体" w:hAnsi="宋体" w:cs="宋体"/>
                <w:sz w:val="24"/>
              </w:rPr>
            </w:pPr>
            <w:r>
              <w:rPr>
                <w:rFonts w:hint="eastAsia" w:ascii="宋体" w:hAnsi="宋体" w:cs="宋体"/>
                <w:sz w:val="24"/>
              </w:rPr>
              <w:t>工期</w:t>
            </w:r>
          </w:p>
        </w:tc>
        <w:tc>
          <w:tcPr>
            <w:tcW w:w="7170" w:type="dxa"/>
            <w:tcBorders>
              <w:top w:val="single" w:color="auto" w:sz="4" w:space="0"/>
              <w:left w:val="single" w:color="auto" w:sz="4" w:space="0"/>
              <w:bottom w:val="single" w:color="auto" w:sz="4" w:space="0"/>
              <w:right w:val="single" w:color="auto" w:sz="4" w:space="0"/>
            </w:tcBorders>
          </w:tcPr>
          <w:p>
            <w:pPr>
              <w:adjustRightInd w:val="0"/>
              <w:snapToGrid w:val="0"/>
              <w:spacing w:line="400" w:lineRule="exact"/>
              <w:rPr>
                <w:rFonts w:ascii="宋体" w:hAnsi="宋体" w:cs="宋体"/>
                <w:sz w:val="24"/>
              </w:rPr>
            </w:pPr>
            <w:r>
              <w:rPr>
                <w:rFonts w:hint="eastAsia" w:ascii="宋体" w:hAnsi="宋体" w:cs="宋体"/>
                <w:sz w:val="24"/>
              </w:rPr>
              <w:t>满足招标文件要求</w:t>
            </w:r>
          </w:p>
        </w:tc>
      </w:tr>
      <w:tr>
        <w:tblPrEx>
          <w:tblLayout w:type="fixed"/>
          <w:tblCellMar>
            <w:top w:w="0" w:type="dxa"/>
            <w:left w:w="108" w:type="dxa"/>
            <w:bottom w:w="0" w:type="dxa"/>
            <w:right w:w="108" w:type="dxa"/>
          </w:tblCellMar>
        </w:tblPrEx>
        <w:trPr>
          <w:trHeight w:val="461"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7</w:t>
            </w:r>
          </w:p>
        </w:tc>
        <w:tc>
          <w:tcPr>
            <w:tcW w:w="1912"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00" w:lineRule="exact"/>
              <w:rPr>
                <w:rFonts w:ascii="宋体" w:hAnsi="宋体" w:cs="宋体"/>
                <w:sz w:val="24"/>
              </w:rPr>
            </w:pPr>
            <w:r>
              <w:rPr>
                <w:rFonts w:hint="eastAsia" w:ascii="宋体" w:hAnsi="宋体" w:cs="宋体"/>
                <w:sz w:val="24"/>
              </w:rPr>
              <w:t>投标保证金</w:t>
            </w:r>
          </w:p>
        </w:tc>
        <w:tc>
          <w:tcPr>
            <w:tcW w:w="7170" w:type="dxa"/>
            <w:tcBorders>
              <w:top w:val="single" w:color="auto" w:sz="4" w:space="0"/>
              <w:left w:val="single" w:color="auto" w:sz="4" w:space="0"/>
              <w:bottom w:val="single" w:color="auto" w:sz="4" w:space="0"/>
              <w:right w:val="single" w:color="auto" w:sz="4" w:space="0"/>
            </w:tcBorders>
          </w:tcPr>
          <w:p>
            <w:pPr>
              <w:adjustRightInd w:val="0"/>
              <w:snapToGrid w:val="0"/>
              <w:spacing w:line="400" w:lineRule="exact"/>
              <w:rPr>
                <w:rFonts w:ascii="宋体" w:hAnsi="宋体" w:cs="宋体"/>
                <w:sz w:val="24"/>
              </w:rPr>
            </w:pPr>
            <w:r>
              <w:rPr>
                <w:rFonts w:hint="eastAsia" w:ascii="宋体" w:hAnsi="宋体" w:cs="宋体"/>
                <w:sz w:val="24"/>
              </w:rPr>
              <w:t>按招标文件要求提交投标保证金</w:t>
            </w:r>
          </w:p>
        </w:tc>
      </w:tr>
      <w:tr>
        <w:tblPrEx>
          <w:tblLayout w:type="fixed"/>
          <w:tblCellMar>
            <w:top w:w="0" w:type="dxa"/>
            <w:left w:w="108" w:type="dxa"/>
            <w:bottom w:w="0" w:type="dxa"/>
            <w:right w:w="108" w:type="dxa"/>
          </w:tblCellMar>
        </w:tblPrEx>
        <w:trPr>
          <w:trHeight w:val="745"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8</w:t>
            </w:r>
          </w:p>
        </w:tc>
        <w:tc>
          <w:tcPr>
            <w:tcW w:w="1912" w:type="dxa"/>
            <w:tcBorders>
              <w:top w:val="single" w:color="auto" w:sz="4" w:space="0"/>
              <w:left w:val="single" w:color="auto" w:sz="4" w:space="0"/>
              <w:bottom w:val="single" w:color="auto" w:sz="4" w:space="0"/>
              <w:right w:val="single" w:color="auto" w:sz="4" w:space="0"/>
            </w:tcBorders>
            <w:vAlign w:val="center"/>
          </w:tcPr>
          <w:p>
            <w:pPr>
              <w:pStyle w:val="41"/>
              <w:adjustRightInd w:val="0"/>
              <w:snapToGrid w:val="0"/>
              <w:spacing w:before="105"/>
              <w:rPr>
                <w:sz w:val="24"/>
              </w:rPr>
            </w:pPr>
            <w:r>
              <w:rPr>
                <w:rFonts w:hint="eastAsia"/>
                <w:sz w:val="24"/>
              </w:rPr>
              <w:t>项目经理证书</w:t>
            </w:r>
          </w:p>
        </w:tc>
        <w:tc>
          <w:tcPr>
            <w:tcW w:w="7170" w:type="dxa"/>
            <w:tcBorders>
              <w:top w:val="single" w:color="auto" w:sz="4" w:space="0"/>
              <w:left w:val="single" w:color="auto" w:sz="4" w:space="0"/>
              <w:bottom w:val="single" w:color="auto" w:sz="4" w:space="0"/>
              <w:right w:val="single" w:color="auto" w:sz="4" w:space="0"/>
            </w:tcBorders>
            <w:vAlign w:val="center"/>
          </w:tcPr>
          <w:p>
            <w:pPr>
              <w:pStyle w:val="41"/>
              <w:adjustRightInd w:val="0"/>
              <w:snapToGrid w:val="0"/>
              <w:spacing w:before="105"/>
              <w:rPr>
                <w:sz w:val="24"/>
              </w:rPr>
            </w:pPr>
            <w:r>
              <w:rPr>
                <w:rFonts w:hint="eastAsia"/>
                <w:sz w:val="24"/>
              </w:rPr>
              <w:t>需提供项目经理的注册建造师证书（机电工程专业</w:t>
            </w:r>
          </w:p>
          <w:p>
            <w:pPr>
              <w:pStyle w:val="41"/>
              <w:adjustRightInd w:val="0"/>
              <w:snapToGrid w:val="0"/>
              <w:spacing w:before="105"/>
              <w:rPr>
                <w:sz w:val="24"/>
              </w:rPr>
            </w:pPr>
            <w:r>
              <w:rPr>
                <w:rFonts w:hint="eastAsia"/>
                <w:sz w:val="24"/>
              </w:rPr>
              <w:t>贰级及以上</w:t>
            </w:r>
            <w:r>
              <w:rPr>
                <w:rFonts w:hint="eastAsia"/>
                <w:spacing w:val="-15"/>
                <w:sz w:val="24"/>
              </w:rPr>
              <w:t>）</w:t>
            </w:r>
            <w:r>
              <w:rPr>
                <w:rFonts w:hint="eastAsia"/>
                <w:spacing w:val="-2"/>
                <w:sz w:val="24"/>
              </w:rPr>
              <w:t>、安全生产考核合格证</w:t>
            </w:r>
            <w:r>
              <w:rPr>
                <w:rFonts w:hint="eastAsia"/>
                <w:sz w:val="24"/>
              </w:rPr>
              <w:t>（B</w:t>
            </w:r>
            <w:r>
              <w:rPr>
                <w:rFonts w:hint="eastAsia"/>
                <w:spacing w:val="-31"/>
                <w:sz w:val="24"/>
              </w:rPr>
              <w:t xml:space="preserve"> 证</w:t>
            </w:r>
            <w:r>
              <w:rPr>
                <w:rFonts w:hint="eastAsia"/>
                <w:spacing w:val="-15"/>
                <w:sz w:val="24"/>
              </w:rPr>
              <w:t>）</w:t>
            </w:r>
          </w:p>
        </w:tc>
      </w:tr>
      <w:tr>
        <w:tblPrEx>
          <w:tblLayout w:type="fixed"/>
          <w:tblCellMar>
            <w:top w:w="0" w:type="dxa"/>
            <w:left w:w="108" w:type="dxa"/>
            <w:bottom w:w="0" w:type="dxa"/>
            <w:right w:w="108" w:type="dxa"/>
          </w:tblCellMar>
        </w:tblPrEx>
        <w:trPr>
          <w:trHeight w:val="745"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9</w:t>
            </w:r>
          </w:p>
        </w:tc>
        <w:tc>
          <w:tcPr>
            <w:tcW w:w="1912" w:type="dxa"/>
            <w:tcBorders>
              <w:top w:val="single" w:color="auto" w:sz="4" w:space="0"/>
              <w:left w:val="single" w:color="auto" w:sz="4" w:space="0"/>
              <w:bottom w:val="single" w:color="auto" w:sz="4" w:space="0"/>
              <w:right w:val="single" w:color="auto" w:sz="4" w:space="0"/>
            </w:tcBorders>
            <w:vAlign w:val="center"/>
          </w:tcPr>
          <w:p>
            <w:pPr>
              <w:pStyle w:val="41"/>
              <w:adjustRightInd w:val="0"/>
              <w:snapToGrid w:val="0"/>
              <w:spacing w:before="90"/>
              <w:rPr>
                <w:sz w:val="24"/>
              </w:rPr>
            </w:pPr>
            <w:r>
              <w:rPr>
                <w:rFonts w:hint="eastAsia"/>
                <w:sz w:val="24"/>
              </w:rPr>
              <w:t>工程质量</w:t>
            </w:r>
          </w:p>
        </w:tc>
        <w:tc>
          <w:tcPr>
            <w:tcW w:w="7170" w:type="dxa"/>
            <w:tcBorders>
              <w:top w:val="single" w:color="auto" w:sz="4" w:space="0"/>
              <w:left w:val="single" w:color="auto" w:sz="4" w:space="0"/>
              <w:bottom w:val="single" w:color="auto" w:sz="4" w:space="0"/>
              <w:right w:val="single" w:color="auto" w:sz="4" w:space="0"/>
            </w:tcBorders>
            <w:vAlign w:val="center"/>
          </w:tcPr>
          <w:p>
            <w:pPr>
              <w:pStyle w:val="41"/>
              <w:adjustRightInd w:val="0"/>
              <w:snapToGrid w:val="0"/>
              <w:spacing w:before="105"/>
              <w:rPr>
                <w:sz w:val="24"/>
              </w:rPr>
            </w:pPr>
            <w:r>
              <w:rPr>
                <w:rFonts w:hint="eastAsia"/>
                <w:sz w:val="24"/>
              </w:rPr>
              <w:t>合格</w:t>
            </w:r>
          </w:p>
        </w:tc>
      </w:tr>
      <w:tr>
        <w:tblPrEx>
          <w:tblLayout w:type="fixed"/>
          <w:tblCellMar>
            <w:top w:w="0" w:type="dxa"/>
            <w:left w:w="108" w:type="dxa"/>
            <w:bottom w:w="0" w:type="dxa"/>
            <w:right w:w="108" w:type="dxa"/>
          </w:tblCellMar>
        </w:tblPrEx>
        <w:trPr>
          <w:trHeight w:val="745"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10</w:t>
            </w:r>
          </w:p>
        </w:tc>
        <w:tc>
          <w:tcPr>
            <w:tcW w:w="1912" w:type="dxa"/>
            <w:tcBorders>
              <w:top w:val="single" w:color="auto" w:sz="4" w:space="0"/>
              <w:left w:val="single" w:color="auto" w:sz="4" w:space="0"/>
              <w:bottom w:val="single" w:color="auto" w:sz="4" w:space="0"/>
              <w:right w:val="single" w:color="auto" w:sz="4" w:space="0"/>
            </w:tcBorders>
            <w:vAlign w:val="center"/>
          </w:tcPr>
          <w:p>
            <w:pPr>
              <w:pStyle w:val="41"/>
              <w:adjustRightInd w:val="0"/>
              <w:snapToGrid w:val="0"/>
              <w:spacing w:before="11"/>
              <w:rPr>
                <w:b/>
                <w:sz w:val="24"/>
              </w:rPr>
            </w:pPr>
          </w:p>
          <w:p>
            <w:pPr>
              <w:pStyle w:val="41"/>
              <w:adjustRightInd w:val="0"/>
              <w:snapToGrid w:val="0"/>
              <w:spacing w:before="1"/>
              <w:rPr>
                <w:sz w:val="24"/>
              </w:rPr>
            </w:pPr>
            <w:r>
              <w:rPr>
                <w:rFonts w:hint="eastAsia"/>
                <w:sz w:val="24"/>
              </w:rPr>
              <w:t>已标价工程量清单</w:t>
            </w:r>
          </w:p>
        </w:tc>
        <w:tc>
          <w:tcPr>
            <w:tcW w:w="7170" w:type="dxa"/>
            <w:tcBorders>
              <w:top w:val="single" w:color="auto" w:sz="4" w:space="0"/>
              <w:left w:val="single" w:color="auto" w:sz="4" w:space="0"/>
              <w:bottom w:val="single" w:color="auto" w:sz="4" w:space="0"/>
              <w:right w:val="single" w:color="auto" w:sz="4" w:space="0"/>
            </w:tcBorders>
            <w:vAlign w:val="center"/>
          </w:tcPr>
          <w:p>
            <w:pPr>
              <w:pStyle w:val="41"/>
              <w:adjustRightInd w:val="0"/>
              <w:snapToGrid w:val="0"/>
              <w:spacing w:before="105"/>
              <w:rPr>
                <w:sz w:val="24"/>
              </w:rPr>
            </w:pPr>
            <w:r>
              <w:rPr>
                <w:rFonts w:hint="eastAsia"/>
                <w:sz w:val="24"/>
              </w:rPr>
              <w:t>符合第五章“工程量清单”给出的子目编码、子目名称、子目特征、计量单位和工程量。</w:t>
            </w:r>
            <w:r>
              <w:rPr>
                <w:rFonts w:hint="eastAsia"/>
                <w:sz w:val="24"/>
                <w:lang w:val="en-US" w:eastAsia="zh-CN"/>
              </w:rPr>
              <w:t>()</w:t>
            </w:r>
          </w:p>
        </w:tc>
      </w:tr>
      <w:tr>
        <w:tblPrEx>
          <w:tblLayout w:type="fixed"/>
          <w:tblCellMar>
            <w:top w:w="0" w:type="dxa"/>
            <w:left w:w="108" w:type="dxa"/>
            <w:bottom w:w="0" w:type="dxa"/>
            <w:right w:w="108" w:type="dxa"/>
          </w:tblCellMar>
        </w:tblPrEx>
        <w:trPr>
          <w:trHeight w:val="745"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ascii="宋体" w:hAnsi="宋体" w:cs="宋体"/>
                <w:sz w:val="24"/>
              </w:rPr>
            </w:pPr>
            <w:r>
              <w:rPr>
                <w:rFonts w:hint="eastAsia" w:ascii="宋体" w:hAnsi="宋体" w:cs="宋体"/>
                <w:sz w:val="24"/>
              </w:rPr>
              <w:t>11</w:t>
            </w:r>
          </w:p>
        </w:tc>
        <w:tc>
          <w:tcPr>
            <w:tcW w:w="1912" w:type="dxa"/>
            <w:tcBorders>
              <w:top w:val="single" w:color="auto" w:sz="4" w:space="0"/>
              <w:left w:val="single" w:color="auto" w:sz="4" w:space="0"/>
              <w:bottom w:val="single" w:color="auto" w:sz="4" w:space="0"/>
              <w:right w:val="single" w:color="auto" w:sz="4" w:space="0"/>
            </w:tcBorders>
            <w:vAlign w:val="center"/>
          </w:tcPr>
          <w:p>
            <w:pPr>
              <w:pStyle w:val="41"/>
              <w:adjustRightInd w:val="0"/>
              <w:snapToGrid w:val="0"/>
              <w:spacing w:before="1"/>
              <w:rPr>
                <w:sz w:val="24"/>
              </w:rPr>
            </w:pPr>
            <w:r>
              <w:rPr>
                <w:rFonts w:hint="eastAsia"/>
                <w:sz w:val="24"/>
              </w:rPr>
              <w:t>控制价</w:t>
            </w:r>
          </w:p>
        </w:tc>
        <w:tc>
          <w:tcPr>
            <w:tcW w:w="7170" w:type="dxa"/>
            <w:tcBorders>
              <w:top w:val="single" w:color="auto" w:sz="4" w:space="0"/>
              <w:left w:val="single" w:color="auto" w:sz="4" w:space="0"/>
              <w:bottom w:val="single" w:color="auto" w:sz="4" w:space="0"/>
              <w:right w:val="single" w:color="auto" w:sz="4" w:space="0"/>
            </w:tcBorders>
            <w:vAlign w:val="center"/>
          </w:tcPr>
          <w:p>
            <w:pPr>
              <w:pStyle w:val="41"/>
              <w:adjustRightInd w:val="0"/>
              <w:snapToGrid w:val="0"/>
              <w:spacing w:before="105"/>
              <w:rPr>
                <w:sz w:val="24"/>
              </w:rPr>
            </w:pPr>
            <w:r>
              <w:rPr>
                <w:rFonts w:hint="eastAsia"/>
                <w:sz w:val="24"/>
              </w:rPr>
              <w:t>低于招标文件发布的最高限价</w:t>
            </w:r>
          </w:p>
        </w:tc>
      </w:tr>
      <w:tr>
        <w:tblPrEx>
          <w:tblLayout w:type="fixed"/>
          <w:tblCellMar>
            <w:top w:w="0" w:type="dxa"/>
            <w:left w:w="108" w:type="dxa"/>
            <w:bottom w:w="0" w:type="dxa"/>
            <w:right w:w="108" w:type="dxa"/>
          </w:tblCellMar>
        </w:tblPrEx>
        <w:trPr>
          <w:trHeight w:val="745" w:hRule="atLeast"/>
          <w:jc w:val="center"/>
        </w:trPr>
        <w:tc>
          <w:tcPr>
            <w:tcW w:w="5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440" w:lineRule="exact"/>
              <w:rPr>
                <w:rFonts w:hint="eastAsia" w:ascii="宋体" w:hAnsi="宋体" w:cs="宋体"/>
                <w:sz w:val="24"/>
              </w:rPr>
            </w:pPr>
            <w:r>
              <w:rPr>
                <w:rFonts w:hint="eastAsia" w:ascii="宋体" w:hAnsi="宋体" w:cs="宋体"/>
                <w:sz w:val="24"/>
              </w:rPr>
              <w:t>12</w:t>
            </w:r>
          </w:p>
        </w:tc>
        <w:tc>
          <w:tcPr>
            <w:tcW w:w="1912" w:type="dxa"/>
            <w:tcBorders>
              <w:top w:val="single" w:color="auto" w:sz="4" w:space="0"/>
              <w:left w:val="single" w:color="auto" w:sz="4" w:space="0"/>
              <w:bottom w:val="single" w:color="auto" w:sz="4" w:space="0"/>
              <w:right w:val="single" w:color="auto" w:sz="4" w:space="0"/>
            </w:tcBorders>
            <w:vAlign w:val="center"/>
          </w:tcPr>
          <w:p>
            <w:pPr>
              <w:pStyle w:val="41"/>
              <w:adjustRightInd w:val="0"/>
              <w:snapToGrid w:val="0"/>
              <w:spacing w:before="1"/>
              <w:rPr>
                <w:rFonts w:hint="eastAsia"/>
                <w:color w:val="FF0000"/>
                <w:sz w:val="24"/>
              </w:rPr>
            </w:pPr>
            <w:r>
              <w:rPr>
                <w:rFonts w:hint="eastAsia"/>
                <w:color w:val="FF0000"/>
                <w:sz w:val="24"/>
              </w:rPr>
              <w:t>合规经营材料</w:t>
            </w:r>
          </w:p>
        </w:tc>
        <w:tc>
          <w:tcPr>
            <w:tcW w:w="7170" w:type="dxa"/>
            <w:tcBorders>
              <w:top w:val="single" w:color="auto" w:sz="4" w:space="0"/>
              <w:left w:val="single" w:color="auto" w:sz="4" w:space="0"/>
              <w:bottom w:val="single" w:color="auto" w:sz="4" w:space="0"/>
              <w:right w:val="single" w:color="auto" w:sz="4" w:space="0"/>
            </w:tcBorders>
            <w:vAlign w:val="center"/>
          </w:tcPr>
          <w:p>
            <w:pPr>
              <w:pStyle w:val="41"/>
              <w:adjustRightInd w:val="0"/>
              <w:snapToGrid w:val="0"/>
              <w:spacing w:before="105"/>
              <w:rPr>
                <w:rFonts w:hint="eastAsia"/>
                <w:color w:val="FF0000"/>
                <w:sz w:val="24"/>
              </w:rPr>
            </w:pPr>
            <w:r>
              <w:rPr>
                <w:rFonts w:hint="eastAsia"/>
                <w:color w:val="FF0000"/>
                <w:sz w:val="24"/>
              </w:rPr>
              <w:t>财务报表、经营业务数据、诉讼仲裁情况等</w:t>
            </w:r>
          </w:p>
        </w:tc>
      </w:tr>
      <w:tr>
        <w:tblPrEx>
          <w:tblLayout w:type="fixed"/>
          <w:tblCellMar>
            <w:top w:w="0" w:type="dxa"/>
            <w:left w:w="108" w:type="dxa"/>
            <w:bottom w:w="0" w:type="dxa"/>
            <w:right w:w="108" w:type="dxa"/>
          </w:tblCellMar>
        </w:tblPrEx>
        <w:trPr>
          <w:trHeight w:val="745" w:hRule="atLeast"/>
          <w:jc w:val="center"/>
        </w:trPr>
        <w:tc>
          <w:tcPr>
            <w:tcW w:w="9630" w:type="dxa"/>
            <w:gridSpan w:val="3"/>
            <w:tcBorders>
              <w:top w:val="single" w:color="auto" w:sz="4" w:space="0"/>
              <w:left w:val="single" w:color="auto" w:sz="4" w:space="0"/>
              <w:bottom w:val="single" w:color="auto" w:sz="4" w:space="0"/>
              <w:right w:val="single" w:color="auto" w:sz="4" w:space="0"/>
            </w:tcBorders>
            <w:vAlign w:val="center"/>
          </w:tcPr>
          <w:p>
            <w:pPr>
              <w:pStyle w:val="41"/>
              <w:adjustRightInd w:val="0"/>
              <w:snapToGrid w:val="0"/>
              <w:spacing w:before="90" w:line="280" w:lineRule="auto"/>
              <w:ind w:right="96"/>
            </w:pPr>
            <w:r>
              <w:rPr>
                <w:rFonts w:hint="eastAsia"/>
                <w:b/>
                <w:kern w:val="10"/>
                <w:sz w:val="24"/>
              </w:rPr>
              <w:t>以上评审有</w:t>
            </w:r>
            <w:r>
              <w:rPr>
                <w:rFonts w:hint="eastAsia"/>
                <w:b/>
                <w:sz w:val="24"/>
              </w:rPr>
              <w:t>任何</w:t>
            </w:r>
            <w:r>
              <w:rPr>
                <w:rFonts w:hint="eastAsia"/>
                <w:b/>
                <w:kern w:val="10"/>
                <w:sz w:val="24"/>
              </w:rPr>
              <w:t>一项未通过或缺少任何一项材料的，资格审查不合格，</w:t>
            </w:r>
            <w:r>
              <w:rPr>
                <w:rFonts w:hint="eastAsia"/>
                <w:b/>
                <w:sz w:val="24"/>
              </w:rPr>
              <w:t>按照无效投标处理</w:t>
            </w:r>
            <w:r>
              <w:rPr>
                <w:rFonts w:hint="eastAsia"/>
                <w:kern w:val="10"/>
                <w:sz w:val="24"/>
              </w:rPr>
              <w:t>。</w:t>
            </w:r>
          </w:p>
        </w:tc>
      </w:tr>
    </w:tbl>
    <w:p>
      <w:pPr>
        <w:adjustRightInd w:val="0"/>
        <w:snapToGrid w:val="0"/>
        <w:spacing w:line="360" w:lineRule="auto"/>
        <w:rPr>
          <w:rFonts w:ascii="宋体" w:hAnsi="宋体" w:cs="宋体"/>
          <w:sz w:val="18"/>
          <w:szCs w:val="21"/>
        </w:rPr>
      </w:pPr>
    </w:p>
    <w:p>
      <w:pPr>
        <w:pStyle w:val="2"/>
        <w:numPr>
          <w:ilvl w:val="0"/>
          <w:numId w:val="0"/>
        </w:numPr>
        <w:adjustRightInd w:val="0"/>
        <w:snapToGrid w:val="0"/>
        <w:jc w:val="left"/>
        <w:rPr>
          <w:rFonts w:ascii="宋体" w:hAnsi="宋体" w:eastAsia="宋体" w:cs="宋体"/>
          <w:b/>
          <w:sz w:val="21"/>
        </w:rPr>
      </w:pPr>
      <w:bookmarkStart w:id="29" w:name="_Toc6817"/>
      <w:bookmarkStart w:id="30" w:name="_Toc16987"/>
      <w:bookmarkStart w:id="31" w:name="_Toc12636"/>
      <w:r>
        <w:rPr>
          <w:rFonts w:hint="eastAsia" w:ascii="宋体" w:hAnsi="宋体" w:eastAsia="宋体" w:cs="宋体"/>
        </w:rPr>
        <w:t>详细评审表</w:t>
      </w:r>
      <w:bookmarkEnd w:id="29"/>
      <w:bookmarkEnd w:id="30"/>
      <w:bookmarkEnd w:id="31"/>
    </w:p>
    <w:p>
      <w:pPr>
        <w:adjustRightInd w:val="0"/>
        <w:snapToGrid w:val="0"/>
        <w:spacing w:before="1"/>
        <w:jc w:val="left"/>
        <w:rPr>
          <w:rFonts w:ascii="宋体" w:hAnsi="宋体" w:cs="宋体"/>
          <w:b/>
          <w:sz w:val="32"/>
          <w:szCs w:val="40"/>
        </w:rPr>
      </w:pPr>
      <w:r>
        <w:rPr>
          <w:rFonts w:hint="eastAsia" w:ascii="宋体" w:hAnsi="宋体" w:cs="宋体"/>
          <w:b/>
          <w:sz w:val="32"/>
          <w:szCs w:val="40"/>
        </w:rPr>
        <w:t>技术标评分标准</w:t>
      </w:r>
    </w:p>
    <w:tbl>
      <w:tblPr>
        <w:tblStyle w:val="23"/>
        <w:tblW w:w="1077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01"/>
        <w:gridCol w:w="610"/>
        <w:gridCol w:w="1582"/>
        <w:gridCol w:w="1234"/>
        <w:gridCol w:w="64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95" w:hRule="atLeast"/>
          <w:jc w:val="center"/>
        </w:trPr>
        <w:tc>
          <w:tcPr>
            <w:tcW w:w="901" w:type="dxa"/>
            <w:vAlign w:val="center"/>
          </w:tcPr>
          <w:p>
            <w:pPr>
              <w:pStyle w:val="41"/>
              <w:adjustRightInd w:val="0"/>
              <w:snapToGrid w:val="0"/>
              <w:spacing w:before="105"/>
              <w:ind w:right="161"/>
              <w:jc w:val="center"/>
            </w:pPr>
          </w:p>
        </w:tc>
        <w:tc>
          <w:tcPr>
            <w:tcW w:w="610" w:type="dxa"/>
            <w:vAlign w:val="center"/>
          </w:tcPr>
          <w:p>
            <w:pPr>
              <w:pStyle w:val="41"/>
              <w:adjustRightInd w:val="0"/>
              <w:snapToGrid w:val="0"/>
              <w:spacing w:before="105"/>
              <w:ind w:right="161"/>
              <w:jc w:val="center"/>
            </w:pPr>
            <w:r>
              <w:rPr>
                <w:rFonts w:hint="eastAsia"/>
              </w:rPr>
              <w:t>序号</w:t>
            </w:r>
          </w:p>
        </w:tc>
        <w:tc>
          <w:tcPr>
            <w:tcW w:w="1582" w:type="dxa"/>
            <w:vAlign w:val="center"/>
          </w:tcPr>
          <w:p>
            <w:pPr>
              <w:pStyle w:val="41"/>
              <w:adjustRightInd w:val="0"/>
              <w:snapToGrid w:val="0"/>
              <w:spacing w:before="105"/>
              <w:ind w:right="1062"/>
              <w:jc w:val="center"/>
            </w:pPr>
            <w:r>
              <w:rPr>
                <w:rFonts w:hint="eastAsia"/>
              </w:rPr>
              <w:t>评审指标</w:t>
            </w:r>
          </w:p>
        </w:tc>
        <w:tc>
          <w:tcPr>
            <w:tcW w:w="1234" w:type="dxa"/>
            <w:vAlign w:val="center"/>
          </w:tcPr>
          <w:p>
            <w:pPr>
              <w:pStyle w:val="41"/>
              <w:adjustRightInd w:val="0"/>
              <w:snapToGrid w:val="0"/>
              <w:spacing w:before="105"/>
              <w:ind w:right="353"/>
              <w:jc w:val="center"/>
            </w:pPr>
            <w:r>
              <w:rPr>
                <w:rFonts w:hint="eastAsia"/>
              </w:rPr>
              <w:t>分数</w:t>
            </w:r>
          </w:p>
        </w:tc>
        <w:tc>
          <w:tcPr>
            <w:tcW w:w="6443" w:type="dxa"/>
            <w:vAlign w:val="center"/>
          </w:tcPr>
          <w:p>
            <w:pPr>
              <w:pStyle w:val="41"/>
              <w:adjustRightInd w:val="0"/>
              <w:snapToGrid w:val="0"/>
              <w:spacing w:before="105"/>
              <w:ind w:right="1965"/>
              <w:jc w:val="center"/>
            </w:pPr>
            <w:r>
              <w:rPr>
                <w:rFonts w:hint="eastAsia"/>
              </w:rPr>
              <w:t>评分办法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26" w:hRule="atLeast"/>
          <w:jc w:val="center"/>
        </w:trPr>
        <w:tc>
          <w:tcPr>
            <w:tcW w:w="901" w:type="dxa"/>
            <w:vMerge w:val="restart"/>
            <w:vAlign w:val="center"/>
          </w:tcPr>
          <w:p>
            <w:pPr>
              <w:pStyle w:val="41"/>
              <w:adjustRightInd w:val="0"/>
              <w:snapToGrid w:val="0"/>
              <w:spacing w:before="164"/>
              <w:ind w:left="113" w:right="145"/>
              <w:jc w:val="center"/>
            </w:pPr>
            <w:r>
              <w:rPr>
                <w:rFonts w:hint="eastAsia"/>
              </w:rPr>
              <w:t>技术标一</w:t>
            </w:r>
          </w:p>
          <w:p>
            <w:pPr>
              <w:pStyle w:val="41"/>
              <w:adjustRightInd w:val="0"/>
              <w:snapToGrid w:val="0"/>
              <w:spacing w:before="164"/>
              <w:ind w:left="113" w:right="145"/>
              <w:jc w:val="center"/>
            </w:pPr>
            <w:r>
              <w:rPr>
                <w:rFonts w:hint="eastAsia"/>
              </w:rPr>
              <w:t>（施工组织设计）</w:t>
            </w:r>
          </w:p>
        </w:tc>
        <w:tc>
          <w:tcPr>
            <w:tcW w:w="610" w:type="dxa"/>
            <w:vAlign w:val="center"/>
          </w:tcPr>
          <w:p>
            <w:pPr>
              <w:pStyle w:val="41"/>
              <w:adjustRightInd w:val="0"/>
              <w:snapToGrid w:val="0"/>
              <w:spacing w:before="0"/>
              <w:jc w:val="center"/>
              <w:rPr>
                <w:b/>
                <w:sz w:val="20"/>
              </w:rPr>
            </w:pPr>
          </w:p>
          <w:p>
            <w:pPr>
              <w:pStyle w:val="41"/>
              <w:adjustRightInd w:val="0"/>
              <w:snapToGrid w:val="0"/>
              <w:spacing w:before="164"/>
              <w:ind w:right="145"/>
              <w:jc w:val="center"/>
            </w:pPr>
            <w:r>
              <w:rPr>
                <w:rFonts w:hint="eastAsia"/>
              </w:rPr>
              <w:t>1</w:t>
            </w:r>
          </w:p>
        </w:tc>
        <w:tc>
          <w:tcPr>
            <w:tcW w:w="1582" w:type="dxa"/>
            <w:vAlign w:val="center"/>
          </w:tcPr>
          <w:p>
            <w:pPr>
              <w:pStyle w:val="41"/>
              <w:adjustRightInd w:val="0"/>
              <w:snapToGrid w:val="0"/>
              <w:spacing w:before="0"/>
              <w:jc w:val="center"/>
              <w:rPr>
                <w:b/>
                <w:sz w:val="20"/>
              </w:rPr>
            </w:pPr>
          </w:p>
          <w:p>
            <w:pPr>
              <w:pStyle w:val="41"/>
              <w:adjustRightInd w:val="0"/>
              <w:snapToGrid w:val="0"/>
              <w:spacing w:before="164"/>
              <w:jc w:val="center"/>
            </w:pPr>
            <w:r>
              <w:rPr>
                <w:rFonts w:hint="eastAsia"/>
              </w:rPr>
              <w:t>针对施工方案、技术措施</w:t>
            </w:r>
          </w:p>
        </w:tc>
        <w:tc>
          <w:tcPr>
            <w:tcW w:w="1234" w:type="dxa"/>
            <w:vAlign w:val="center"/>
          </w:tcPr>
          <w:p>
            <w:pPr>
              <w:pStyle w:val="41"/>
              <w:adjustRightInd w:val="0"/>
              <w:snapToGrid w:val="0"/>
              <w:spacing w:before="0"/>
              <w:jc w:val="center"/>
              <w:rPr>
                <w:b/>
                <w:sz w:val="20"/>
              </w:rPr>
            </w:pPr>
          </w:p>
          <w:p>
            <w:pPr>
              <w:pStyle w:val="41"/>
              <w:adjustRightInd w:val="0"/>
              <w:snapToGrid w:val="0"/>
              <w:spacing w:before="164"/>
              <w:ind w:right="353"/>
              <w:jc w:val="center"/>
            </w:pPr>
            <w:r>
              <w:rPr>
                <w:rFonts w:hint="eastAsia"/>
                <w:lang w:val="en-US"/>
              </w:rPr>
              <w:t>3</w:t>
            </w:r>
          </w:p>
        </w:tc>
        <w:tc>
          <w:tcPr>
            <w:tcW w:w="6443" w:type="dxa"/>
            <w:vAlign w:val="center"/>
          </w:tcPr>
          <w:p>
            <w:pPr>
              <w:pStyle w:val="41"/>
              <w:adjustRightInd w:val="0"/>
              <w:snapToGrid w:val="0"/>
              <w:spacing w:before="105" w:line="280" w:lineRule="auto"/>
              <w:ind w:right="182"/>
            </w:pPr>
            <w:r>
              <w:rPr>
                <w:rFonts w:hint="eastAsia"/>
              </w:rPr>
              <w:t>工程整体有深刻认识、表述完整、清晰；措施先进，施工段划分清晰、合理，符合规范要求评委根据投标文件情况得 0-</w:t>
            </w:r>
            <w:r>
              <w:rPr>
                <w:rFonts w:hint="eastAsia"/>
                <w:lang w:val="en-US"/>
              </w:rPr>
              <w:t>3</w:t>
            </w:r>
            <w:r>
              <w:rPr>
                <w:rFonts w:hint="eastAsia"/>
              </w:rPr>
              <w:t xml:space="preserve">分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441" w:hRule="atLeast"/>
          <w:jc w:val="center"/>
        </w:trPr>
        <w:tc>
          <w:tcPr>
            <w:tcW w:w="901" w:type="dxa"/>
            <w:vMerge w:val="continue"/>
          </w:tcPr>
          <w:p>
            <w:pPr>
              <w:pStyle w:val="41"/>
              <w:adjustRightInd w:val="0"/>
              <w:snapToGrid w:val="0"/>
              <w:spacing w:before="0"/>
              <w:ind w:right="145"/>
              <w:jc w:val="center"/>
            </w:pPr>
          </w:p>
        </w:tc>
        <w:tc>
          <w:tcPr>
            <w:tcW w:w="610" w:type="dxa"/>
            <w:vAlign w:val="center"/>
          </w:tcPr>
          <w:p>
            <w:pPr>
              <w:pStyle w:val="41"/>
              <w:adjustRightInd w:val="0"/>
              <w:snapToGrid w:val="0"/>
              <w:spacing w:before="0"/>
              <w:jc w:val="center"/>
              <w:rPr>
                <w:b/>
                <w:sz w:val="20"/>
              </w:rPr>
            </w:pPr>
          </w:p>
          <w:p>
            <w:pPr>
              <w:pStyle w:val="41"/>
              <w:adjustRightInd w:val="0"/>
              <w:snapToGrid w:val="0"/>
              <w:spacing w:before="6"/>
              <w:jc w:val="center"/>
              <w:rPr>
                <w:b/>
                <w:sz w:val="24"/>
              </w:rPr>
            </w:pPr>
          </w:p>
          <w:p>
            <w:pPr>
              <w:pStyle w:val="41"/>
              <w:adjustRightInd w:val="0"/>
              <w:snapToGrid w:val="0"/>
              <w:spacing w:before="0"/>
              <w:ind w:right="145"/>
              <w:jc w:val="center"/>
            </w:pPr>
            <w:r>
              <w:rPr>
                <w:rFonts w:hint="eastAsia"/>
              </w:rPr>
              <w:t>2</w:t>
            </w:r>
          </w:p>
        </w:tc>
        <w:tc>
          <w:tcPr>
            <w:tcW w:w="1582" w:type="dxa"/>
            <w:vAlign w:val="center"/>
          </w:tcPr>
          <w:p>
            <w:pPr>
              <w:pStyle w:val="41"/>
              <w:adjustRightInd w:val="0"/>
              <w:snapToGrid w:val="0"/>
              <w:spacing w:before="164" w:line="268" w:lineRule="auto"/>
              <w:ind w:right="259"/>
              <w:jc w:val="center"/>
            </w:pPr>
            <w:r>
              <w:rPr>
                <w:rFonts w:hint="eastAsia"/>
              </w:rPr>
              <w:t>施工现场平面布置和临时设施、临时道路布置</w:t>
            </w:r>
          </w:p>
        </w:tc>
        <w:tc>
          <w:tcPr>
            <w:tcW w:w="1234" w:type="dxa"/>
            <w:vAlign w:val="center"/>
          </w:tcPr>
          <w:p>
            <w:pPr>
              <w:pStyle w:val="41"/>
              <w:adjustRightInd w:val="0"/>
              <w:snapToGrid w:val="0"/>
              <w:spacing w:before="0"/>
              <w:ind w:right="353"/>
              <w:jc w:val="center"/>
            </w:pPr>
            <w:r>
              <w:rPr>
                <w:rFonts w:hint="eastAsia"/>
                <w:lang w:val="en-US"/>
              </w:rPr>
              <w:t>3</w:t>
            </w:r>
          </w:p>
        </w:tc>
        <w:tc>
          <w:tcPr>
            <w:tcW w:w="6443" w:type="dxa"/>
            <w:vAlign w:val="center"/>
          </w:tcPr>
          <w:p>
            <w:pPr>
              <w:pStyle w:val="41"/>
              <w:adjustRightInd w:val="0"/>
              <w:snapToGrid w:val="0"/>
              <w:spacing w:before="105" w:line="276" w:lineRule="auto"/>
              <w:ind w:right="187"/>
            </w:pPr>
            <w:r>
              <w:rPr>
                <w:rFonts w:hint="eastAsia"/>
              </w:rPr>
              <w:t>施工现场平面布置和临时设施、临时道路布置等内容齐全、有针对性、合理、符合安全文明生产要求，满足施工需要，评委根据投标文件情况得 0-</w:t>
            </w:r>
            <w:r>
              <w:rPr>
                <w:rFonts w:hint="eastAsia"/>
                <w:lang w:val="en-US"/>
              </w:rPr>
              <w:t>3</w:t>
            </w:r>
            <w:r>
              <w:rPr>
                <w:rFonts w:hint="eastAsia"/>
              </w:rPr>
              <w:t>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275" w:hRule="atLeast"/>
          <w:jc w:val="center"/>
        </w:trPr>
        <w:tc>
          <w:tcPr>
            <w:tcW w:w="901" w:type="dxa"/>
            <w:vMerge w:val="continue"/>
          </w:tcPr>
          <w:p>
            <w:pPr>
              <w:pStyle w:val="41"/>
              <w:adjustRightInd w:val="0"/>
              <w:snapToGrid w:val="0"/>
              <w:spacing w:before="0"/>
              <w:ind w:right="145"/>
              <w:jc w:val="center"/>
            </w:pPr>
          </w:p>
        </w:tc>
        <w:tc>
          <w:tcPr>
            <w:tcW w:w="610" w:type="dxa"/>
            <w:vAlign w:val="center"/>
          </w:tcPr>
          <w:p>
            <w:pPr>
              <w:pStyle w:val="41"/>
              <w:adjustRightInd w:val="0"/>
              <w:snapToGrid w:val="0"/>
              <w:spacing w:before="0"/>
              <w:jc w:val="center"/>
              <w:rPr>
                <w:b/>
                <w:sz w:val="20"/>
              </w:rPr>
            </w:pPr>
          </w:p>
          <w:p>
            <w:pPr>
              <w:pStyle w:val="41"/>
              <w:adjustRightInd w:val="0"/>
              <w:snapToGrid w:val="0"/>
              <w:spacing w:before="0"/>
              <w:jc w:val="center"/>
              <w:rPr>
                <w:b/>
                <w:sz w:val="20"/>
              </w:rPr>
            </w:pPr>
          </w:p>
          <w:p>
            <w:pPr>
              <w:pStyle w:val="41"/>
              <w:adjustRightInd w:val="0"/>
              <w:snapToGrid w:val="0"/>
              <w:spacing w:before="12"/>
              <w:jc w:val="center"/>
              <w:rPr>
                <w:b/>
                <w:sz w:val="27"/>
              </w:rPr>
            </w:pPr>
          </w:p>
          <w:p>
            <w:pPr>
              <w:pStyle w:val="41"/>
              <w:adjustRightInd w:val="0"/>
              <w:snapToGrid w:val="0"/>
              <w:spacing w:before="0"/>
              <w:ind w:right="145"/>
              <w:jc w:val="center"/>
            </w:pPr>
            <w:r>
              <w:rPr>
                <w:rFonts w:hint="eastAsia"/>
              </w:rPr>
              <w:t>3</w:t>
            </w:r>
          </w:p>
        </w:tc>
        <w:tc>
          <w:tcPr>
            <w:tcW w:w="1582" w:type="dxa"/>
            <w:vAlign w:val="center"/>
          </w:tcPr>
          <w:p>
            <w:pPr>
              <w:pStyle w:val="41"/>
              <w:adjustRightInd w:val="0"/>
              <w:snapToGrid w:val="0"/>
              <w:spacing w:before="0"/>
              <w:jc w:val="center"/>
              <w:rPr>
                <w:b/>
                <w:sz w:val="20"/>
              </w:rPr>
            </w:pPr>
          </w:p>
          <w:p>
            <w:pPr>
              <w:pStyle w:val="41"/>
              <w:adjustRightInd w:val="0"/>
              <w:snapToGrid w:val="0"/>
              <w:spacing w:before="0" w:line="280" w:lineRule="auto"/>
              <w:ind w:right="259"/>
              <w:jc w:val="center"/>
            </w:pPr>
            <w:r>
              <w:rPr>
                <w:rFonts w:hint="eastAsia"/>
              </w:rPr>
              <w:t>施工进度计划和各阶段进度的保证措施</w:t>
            </w:r>
          </w:p>
        </w:tc>
        <w:tc>
          <w:tcPr>
            <w:tcW w:w="1234" w:type="dxa"/>
            <w:vAlign w:val="center"/>
          </w:tcPr>
          <w:p>
            <w:pPr>
              <w:pStyle w:val="41"/>
              <w:adjustRightInd w:val="0"/>
              <w:snapToGrid w:val="0"/>
              <w:spacing w:before="0"/>
              <w:ind w:right="353"/>
              <w:jc w:val="center"/>
            </w:pPr>
            <w:r>
              <w:rPr>
                <w:rFonts w:hint="eastAsia"/>
                <w:b/>
                <w:sz w:val="20"/>
                <w:lang w:val="en-US"/>
              </w:rPr>
              <w:t>3</w:t>
            </w:r>
          </w:p>
        </w:tc>
        <w:tc>
          <w:tcPr>
            <w:tcW w:w="6443" w:type="dxa"/>
            <w:vAlign w:val="center"/>
          </w:tcPr>
          <w:p>
            <w:pPr>
              <w:pStyle w:val="41"/>
              <w:adjustRightInd w:val="0"/>
              <w:snapToGrid w:val="0"/>
              <w:spacing w:before="90" w:line="278" w:lineRule="auto"/>
              <w:ind w:right="171"/>
            </w:pPr>
            <w:r>
              <w:rPr>
                <w:rFonts w:hint="eastAsia"/>
              </w:rPr>
              <w:t>网络计划编排合理、可行，关键路线清晰、准确、无错误，进度保证措施可靠，冬、雨季施工措施具体可行，评委根据投标文件情况得 0-</w:t>
            </w:r>
            <w:r>
              <w:rPr>
                <w:rFonts w:hint="eastAsia"/>
                <w:lang w:val="en-US"/>
              </w:rPr>
              <w:t>3</w:t>
            </w:r>
            <w:r>
              <w:rPr>
                <w:rFonts w:hint="eastAsia"/>
              </w:rPr>
              <w:t xml:space="preserve"> 分。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078" w:hRule="atLeast"/>
          <w:jc w:val="center"/>
        </w:trPr>
        <w:tc>
          <w:tcPr>
            <w:tcW w:w="901" w:type="dxa"/>
            <w:vMerge w:val="continue"/>
          </w:tcPr>
          <w:p>
            <w:pPr>
              <w:pStyle w:val="41"/>
              <w:adjustRightInd w:val="0"/>
              <w:snapToGrid w:val="0"/>
              <w:spacing w:before="149"/>
              <w:ind w:right="145"/>
              <w:jc w:val="center"/>
            </w:pPr>
          </w:p>
        </w:tc>
        <w:tc>
          <w:tcPr>
            <w:tcW w:w="610" w:type="dxa"/>
            <w:vAlign w:val="center"/>
          </w:tcPr>
          <w:p>
            <w:pPr>
              <w:pStyle w:val="41"/>
              <w:adjustRightInd w:val="0"/>
              <w:snapToGrid w:val="0"/>
              <w:spacing w:before="0"/>
              <w:jc w:val="center"/>
              <w:rPr>
                <w:b/>
                <w:sz w:val="20"/>
              </w:rPr>
            </w:pPr>
          </w:p>
          <w:p>
            <w:pPr>
              <w:pStyle w:val="41"/>
              <w:adjustRightInd w:val="0"/>
              <w:snapToGrid w:val="0"/>
              <w:spacing w:before="149"/>
              <w:ind w:right="145"/>
              <w:jc w:val="center"/>
            </w:pPr>
            <w:r>
              <w:rPr>
                <w:rFonts w:hint="eastAsia"/>
              </w:rPr>
              <w:t>4</w:t>
            </w:r>
          </w:p>
        </w:tc>
        <w:tc>
          <w:tcPr>
            <w:tcW w:w="1582" w:type="dxa"/>
            <w:vAlign w:val="center"/>
          </w:tcPr>
          <w:p>
            <w:pPr>
              <w:pStyle w:val="41"/>
              <w:adjustRightInd w:val="0"/>
              <w:snapToGrid w:val="0"/>
              <w:spacing w:before="1" w:line="280" w:lineRule="auto"/>
              <w:ind w:right="259"/>
              <w:jc w:val="center"/>
            </w:pPr>
          </w:p>
          <w:p>
            <w:pPr>
              <w:pStyle w:val="41"/>
              <w:adjustRightInd w:val="0"/>
              <w:snapToGrid w:val="0"/>
              <w:spacing w:before="1" w:line="280" w:lineRule="auto"/>
              <w:ind w:right="259"/>
              <w:jc w:val="center"/>
            </w:pPr>
            <w:r>
              <w:rPr>
                <w:rFonts w:hint="eastAsia"/>
              </w:rPr>
              <w:t>质量保证措施</w:t>
            </w:r>
          </w:p>
        </w:tc>
        <w:tc>
          <w:tcPr>
            <w:tcW w:w="1234" w:type="dxa"/>
            <w:vAlign w:val="center"/>
          </w:tcPr>
          <w:p>
            <w:pPr>
              <w:pStyle w:val="41"/>
              <w:adjustRightInd w:val="0"/>
              <w:snapToGrid w:val="0"/>
              <w:spacing w:before="0"/>
              <w:jc w:val="center"/>
              <w:rPr>
                <w:b/>
                <w:sz w:val="20"/>
              </w:rPr>
            </w:pPr>
          </w:p>
          <w:p>
            <w:pPr>
              <w:pStyle w:val="41"/>
              <w:adjustRightInd w:val="0"/>
              <w:snapToGrid w:val="0"/>
              <w:spacing w:before="149"/>
              <w:ind w:right="353"/>
              <w:jc w:val="center"/>
            </w:pPr>
            <w:r>
              <w:rPr>
                <w:rFonts w:hint="eastAsia"/>
                <w:lang w:val="en-US"/>
              </w:rPr>
              <w:t>3</w:t>
            </w:r>
          </w:p>
        </w:tc>
        <w:tc>
          <w:tcPr>
            <w:tcW w:w="6443" w:type="dxa"/>
            <w:vAlign w:val="center"/>
          </w:tcPr>
          <w:p>
            <w:pPr>
              <w:pStyle w:val="41"/>
              <w:adjustRightInd w:val="0"/>
              <w:snapToGrid w:val="0"/>
              <w:spacing w:before="90" w:line="280" w:lineRule="auto"/>
              <w:ind w:right="182"/>
            </w:pPr>
            <w:r>
              <w:rPr>
                <w:rFonts w:hint="eastAsia"/>
              </w:rPr>
              <w:t>对各分部分项工程的施工方案和质量保证措施方案完整、安全、经济、切实可行、措施得力，评委根据投标文件情况得 0-</w:t>
            </w:r>
            <w:r>
              <w:rPr>
                <w:rFonts w:hint="eastAsia"/>
                <w:lang w:val="en-US"/>
              </w:rPr>
              <w:t>3</w:t>
            </w:r>
            <w:r>
              <w:rPr>
                <w:rFonts w:hint="eastAsia"/>
              </w:rPr>
              <w:t xml:space="preserve">分。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10" w:hRule="atLeast"/>
          <w:jc w:val="center"/>
        </w:trPr>
        <w:tc>
          <w:tcPr>
            <w:tcW w:w="901" w:type="dxa"/>
            <w:vMerge w:val="continue"/>
          </w:tcPr>
          <w:p>
            <w:pPr>
              <w:pStyle w:val="41"/>
              <w:adjustRightInd w:val="0"/>
              <w:snapToGrid w:val="0"/>
              <w:spacing w:before="0"/>
              <w:ind w:right="277"/>
              <w:jc w:val="right"/>
            </w:pPr>
          </w:p>
        </w:tc>
        <w:tc>
          <w:tcPr>
            <w:tcW w:w="610" w:type="dxa"/>
            <w:vAlign w:val="center"/>
          </w:tcPr>
          <w:p>
            <w:pPr>
              <w:pStyle w:val="41"/>
              <w:adjustRightInd w:val="0"/>
              <w:snapToGrid w:val="0"/>
              <w:spacing w:before="0"/>
              <w:jc w:val="center"/>
              <w:rPr>
                <w:b/>
                <w:sz w:val="20"/>
              </w:rPr>
            </w:pPr>
          </w:p>
          <w:p>
            <w:pPr>
              <w:pStyle w:val="41"/>
              <w:adjustRightInd w:val="0"/>
              <w:snapToGrid w:val="0"/>
              <w:spacing w:before="0"/>
              <w:ind w:right="277"/>
              <w:jc w:val="center"/>
            </w:pPr>
            <w:r>
              <w:rPr>
                <w:rFonts w:hint="eastAsia"/>
              </w:rPr>
              <w:t>5</w:t>
            </w:r>
          </w:p>
        </w:tc>
        <w:tc>
          <w:tcPr>
            <w:tcW w:w="1582" w:type="dxa"/>
            <w:vAlign w:val="center"/>
          </w:tcPr>
          <w:p>
            <w:pPr>
              <w:pStyle w:val="41"/>
              <w:adjustRightInd w:val="0"/>
              <w:snapToGrid w:val="0"/>
              <w:spacing w:before="0"/>
              <w:jc w:val="center"/>
              <w:rPr>
                <w:b/>
                <w:sz w:val="20"/>
              </w:rPr>
            </w:pPr>
          </w:p>
          <w:p>
            <w:pPr>
              <w:pStyle w:val="41"/>
              <w:adjustRightInd w:val="0"/>
              <w:snapToGrid w:val="0"/>
              <w:spacing w:before="147" w:line="280" w:lineRule="auto"/>
              <w:ind w:right="259"/>
              <w:jc w:val="center"/>
            </w:pPr>
            <w:r>
              <w:rPr>
                <w:rFonts w:hint="eastAsia"/>
              </w:rPr>
              <w:t>安全文明施工和环境保证措施</w:t>
            </w:r>
          </w:p>
        </w:tc>
        <w:tc>
          <w:tcPr>
            <w:tcW w:w="1234" w:type="dxa"/>
            <w:vAlign w:val="center"/>
          </w:tcPr>
          <w:p>
            <w:pPr>
              <w:pStyle w:val="41"/>
              <w:adjustRightInd w:val="0"/>
              <w:snapToGrid w:val="0"/>
              <w:spacing w:before="0"/>
              <w:jc w:val="center"/>
              <w:rPr>
                <w:b/>
                <w:sz w:val="20"/>
              </w:rPr>
            </w:pPr>
          </w:p>
          <w:p>
            <w:pPr>
              <w:pStyle w:val="41"/>
              <w:adjustRightInd w:val="0"/>
              <w:snapToGrid w:val="0"/>
              <w:spacing w:before="2"/>
              <w:jc w:val="center"/>
              <w:rPr>
                <w:b/>
                <w:sz w:val="23"/>
              </w:rPr>
            </w:pPr>
          </w:p>
          <w:p>
            <w:pPr>
              <w:pStyle w:val="41"/>
              <w:adjustRightInd w:val="0"/>
              <w:snapToGrid w:val="0"/>
              <w:spacing w:before="0"/>
              <w:ind w:right="353"/>
              <w:jc w:val="center"/>
            </w:pPr>
            <w:r>
              <w:rPr>
                <w:rFonts w:hint="eastAsia"/>
                <w:lang w:val="en-US"/>
              </w:rPr>
              <w:t>3</w:t>
            </w:r>
          </w:p>
        </w:tc>
        <w:tc>
          <w:tcPr>
            <w:tcW w:w="6443" w:type="dxa"/>
            <w:vAlign w:val="center"/>
          </w:tcPr>
          <w:p>
            <w:pPr>
              <w:pStyle w:val="41"/>
              <w:adjustRightInd w:val="0"/>
              <w:snapToGrid w:val="0"/>
              <w:spacing w:before="87" w:line="280" w:lineRule="auto"/>
              <w:ind w:right="182"/>
            </w:pPr>
            <w:r>
              <w:rPr>
                <w:rFonts w:hint="eastAsia"/>
              </w:rPr>
              <w:t>针对项目实际情况，采用规范正确，有具体完整的措施和应急救援预案，措施齐全、预案可行（防 洪、防火、防触电、防坠落、防倒塌等），评委根据投标文件情况得 0-</w:t>
            </w:r>
            <w:r>
              <w:rPr>
                <w:rFonts w:hint="eastAsia"/>
                <w:lang w:val="en-US"/>
              </w:rPr>
              <w:t>3</w:t>
            </w:r>
            <w:r>
              <w:rPr>
                <w:rFonts w:hint="eastAsia"/>
              </w:rPr>
              <w:t xml:space="preserve">分。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10" w:hRule="atLeast"/>
          <w:jc w:val="center"/>
        </w:trPr>
        <w:tc>
          <w:tcPr>
            <w:tcW w:w="901" w:type="dxa"/>
            <w:vMerge w:val="restart"/>
            <w:vAlign w:val="center"/>
          </w:tcPr>
          <w:p>
            <w:pPr>
              <w:pStyle w:val="41"/>
              <w:adjustRightInd w:val="0"/>
              <w:snapToGrid w:val="0"/>
              <w:spacing w:before="90"/>
              <w:jc w:val="center"/>
            </w:pPr>
            <w:r>
              <w:rPr>
                <w:rFonts w:hint="eastAsia"/>
              </w:rPr>
              <w:t>技术标二</w:t>
            </w:r>
          </w:p>
        </w:tc>
        <w:tc>
          <w:tcPr>
            <w:tcW w:w="610" w:type="dxa"/>
            <w:vAlign w:val="center"/>
          </w:tcPr>
          <w:p>
            <w:pPr>
              <w:pStyle w:val="41"/>
              <w:adjustRightInd w:val="0"/>
              <w:snapToGrid w:val="0"/>
              <w:spacing w:before="90"/>
              <w:jc w:val="center"/>
            </w:pPr>
            <w:r>
              <w:rPr>
                <w:rFonts w:hint="eastAsia"/>
                <w:lang w:val="en-US"/>
              </w:rPr>
              <w:t>6</w:t>
            </w:r>
          </w:p>
        </w:tc>
        <w:tc>
          <w:tcPr>
            <w:tcW w:w="1582" w:type="dxa"/>
            <w:vAlign w:val="center"/>
          </w:tcPr>
          <w:p>
            <w:pPr>
              <w:pStyle w:val="41"/>
              <w:adjustRightInd w:val="0"/>
              <w:snapToGrid w:val="0"/>
              <w:spacing w:before="90"/>
              <w:ind w:right="88"/>
              <w:jc w:val="center"/>
            </w:pPr>
            <w:r>
              <w:rPr>
                <w:rFonts w:hint="eastAsia"/>
              </w:rPr>
              <w:t>企业业绩</w:t>
            </w:r>
          </w:p>
        </w:tc>
        <w:tc>
          <w:tcPr>
            <w:tcW w:w="1234" w:type="dxa"/>
            <w:vAlign w:val="center"/>
          </w:tcPr>
          <w:p>
            <w:pPr>
              <w:pStyle w:val="41"/>
              <w:adjustRightInd w:val="0"/>
              <w:snapToGrid w:val="0"/>
              <w:spacing w:before="90"/>
              <w:ind w:right="323"/>
              <w:jc w:val="center"/>
              <w:rPr>
                <w:lang w:val="en-US"/>
              </w:rPr>
            </w:pPr>
            <w:r>
              <w:rPr>
                <w:rFonts w:hint="eastAsia"/>
                <w:lang w:val="en-US"/>
              </w:rPr>
              <w:t>20</w:t>
            </w:r>
          </w:p>
        </w:tc>
        <w:tc>
          <w:tcPr>
            <w:tcW w:w="6443" w:type="dxa"/>
            <w:vAlign w:val="center"/>
          </w:tcPr>
          <w:p>
            <w:pPr>
              <w:pStyle w:val="41"/>
              <w:adjustRightInd w:val="0"/>
              <w:snapToGrid w:val="0"/>
              <w:spacing w:before="90"/>
              <w:rPr>
                <w:lang w:val="en-US"/>
              </w:rPr>
            </w:pPr>
            <w:r>
              <w:rPr>
                <w:rFonts w:hint="eastAsia"/>
              </w:rPr>
              <w:t>自</w:t>
            </w:r>
            <w:r>
              <w:rPr>
                <w:rFonts w:hint="eastAsia"/>
                <w:lang w:val="en-US"/>
              </w:rPr>
              <w:t>2015年1月1日至今（时间以</w:t>
            </w:r>
            <w:r>
              <w:rPr>
                <w:rFonts w:hint="eastAsia"/>
                <w:color w:val="FF0000"/>
                <w:shd w:val="pct10" w:color="auto" w:fill="FFFFFF"/>
                <w:lang w:val="en-US"/>
              </w:rPr>
              <w:t>竣工验收日期</w:t>
            </w:r>
            <w:r>
              <w:rPr>
                <w:rFonts w:hint="eastAsia"/>
                <w:lang w:val="en-US"/>
              </w:rPr>
              <w:t>为准），投标人承接过单项合同金额在1000万元及以上的</w:t>
            </w:r>
            <w:r>
              <w:rPr>
                <w:rFonts w:hint="eastAsia"/>
                <w:color w:val="FF0000"/>
                <w:lang w:val="en-US"/>
              </w:rPr>
              <w:t>医院消防工程</w:t>
            </w:r>
            <w:r>
              <w:rPr>
                <w:rFonts w:hint="eastAsia"/>
                <w:lang w:val="en-US"/>
              </w:rPr>
              <w:t>业绩，每提供一项得10分；投标人承接过单项合同金额在500万至1000万元的</w:t>
            </w:r>
            <w:r>
              <w:rPr>
                <w:rFonts w:hint="eastAsia"/>
                <w:color w:val="FF0000"/>
                <w:lang w:val="en-US"/>
              </w:rPr>
              <w:t>医院消防工程业绩，</w:t>
            </w:r>
            <w:r>
              <w:rPr>
                <w:rFonts w:hint="eastAsia"/>
                <w:lang w:val="en-US"/>
              </w:rPr>
              <w:t>每提供一项得5分；此项满分20分。</w:t>
            </w:r>
          </w:p>
          <w:p>
            <w:pPr>
              <w:adjustRightInd w:val="0"/>
              <w:snapToGrid w:val="0"/>
              <w:spacing w:beforeLines="10" w:after="30" w:line="360" w:lineRule="auto"/>
              <w:rPr>
                <w:rFonts w:ascii="宋体" w:hAnsi="宋体" w:cs="宋体"/>
                <w:bCs/>
                <w:sz w:val="22"/>
                <w:szCs w:val="22"/>
              </w:rPr>
            </w:pPr>
            <w:r>
              <w:rPr>
                <w:rFonts w:hint="eastAsia" w:ascii="宋体" w:hAnsi="宋体" w:cs="宋体"/>
                <w:bCs/>
                <w:sz w:val="22"/>
                <w:szCs w:val="22"/>
              </w:rPr>
              <w:t>或：根据投标人2015年1月1日（以</w:t>
            </w:r>
            <w:r>
              <w:rPr>
                <w:rFonts w:hint="eastAsia" w:ascii="宋体" w:hAnsi="宋体" w:cs="宋体"/>
                <w:color w:val="FF0000"/>
                <w:shd w:val="pct10" w:color="auto" w:fill="FFFFFF"/>
              </w:rPr>
              <w:t>竣工验收日期</w:t>
            </w:r>
            <w:r>
              <w:rPr>
                <w:rFonts w:hint="eastAsia" w:ascii="宋体" w:hAnsi="宋体" w:cs="宋体"/>
                <w:bCs/>
                <w:sz w:val="22"/>
                <w:szCs w:val="22"/>
              </w:rPr>
              <w:t>为准）以来承担过的类似消防项目业绩进行评审，每提供一项得5分，满分10分。类似业绩指单项工程合同金额在500万元及以上的消防工程项目</w:t>
            </w:r>
          </w:p>
          <w:p>
            <w:pPr>
              <w:pStyle w:val="41"/>
              <w:adjustRightInd w:val="0"/>
              <w:snapToGrid w:val="0"/>
              <w:spacing w:before="90"/>
              <w:rPr>
                <w:lang w:val="en-US"/>
              </w:rPr>
            </w:pPr>
            <w:r>
              <w:rPr>
                <w:rFonts w:hint="eastAsia"/>
                <w:lang w:val="en-US"/>
              </w:rPr>
              <w:t>注：以上业绩需在投标文件中提供工程合同及竣工验收报告的扫描件（或复印件），评标现场提供原件备查，不提供或原件与复印件不一致的不得分。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395" w:hRule="atLeast"/>
          <w:jc w:val="center"/>
        </w:trPr>
        <w:tc>
          <w:tcPr>
            <w:tcW w:w="901" w:type="dxa"/>
            <w:vMerge w:val="continue"/>
            <w:vAlign w:val="center"/>
          </w:tcPr>
          <w:p>
            <w:pPr>
              <w:pStyle w:val="41"/>
              <w:adjustRightInd w:val="0"/>
              <w:snapToGrid w:val="0"/>
              <w:spacing w:before="90"/>
              <w:jc w:val="center"/>
            </w:pPr>
          </w:p>
        </w:tc>
        <w:tc>
          <w:tcPr>
            <w:tcW w:w="610" w:type="dxa"/>
            <w:vAlign w:val="center"/>
          </w:tcPr>
          <w:p>
            <w:pPr>
              <w:pStyle w:val="41"/>
              <w:adjustRightInd w:val="0"/>
              <w:snapToGrid w:val="0"/>
              <w:spacing w:before="90"/>
              <w:jc w:val="center"/>
              <w:rPr>
                <w:lang w:val="en-US"/>
              </w:rPr>
            </w:pPr>
            <w:r>
              <w:rPr>
                <w:rFonts w:hint="eastAsia"/>
                <w:lang w:val="en-US"/>
              </w:rPr>
              <w:t>7</w:t>
            </w:r>
          </w:p>
        </w:tc>
        <w:tc>
          <w:tcPr>
            <w:tcW w:w="1582" w:type="dxa"/>
            <w:vAlign w:val="center"/>
          </w:tcPr>
          <w:p>
            <w:pPr>
              <w:pStyle w:val="41"/>
              <w:adjustRightInd w:val="0"/>
              <w:snapToGrid w:val="0"/>
              <w:spacing w:before="90"/>
              <w:ind w:right="88"/>
              <w:jc w:val="center"/>
            </w:pPr>
            <w:r>
              <w:rPr>
                <w:rFonts w:hint="eastAsia"/>
              </w:rPr>
              <w:t>企业荣誉</w:t>
            </w:r>
          </w:p>
        </w:tc>
        <w:tc>
          <w:tcPr>
            <w:tcW w:w="1234" w:type="dxa"/>
            <w:vAlign w:val="center"/>
          </w:tcPr>
          <w:p>
            <w:pPr>
              <w:pStyle w:val="41"/>
              <w:adjustRightInd w:val="0"/>
              <w:snapToGrid w:val="0"/>
              <w:spacing w:before="90"/>
              <w:ind w:right="323"/>
              <w:jc w:val="center"/>
              <w:rPr>
                <w:lang w:val="en-US"/>
              </w:rPr>
            </w:pPr>
            <w:r>
              <w:rPr>
                <w:rFonts w:hint="eastAsia"/>
                <w:lang w:val="en-US"/>
              </w:rPr>
              <w:t>1</w:t>
            </w:r>
            <w:r>
              <w:rPr>
                <w:lang w:val="en-US"/>
              </w:rPr>
              <w:t>2</w:t>
            </w:r>
          </w:p>
        </w:tc>
        <w:tc>
          <w:tcPr>
            <w:tcW w:w="6443" w:type="dxa"/>
            <w:vAlign w:val="center"/>
          </w:tcPr>
          <w:p>
            <w:pPr>
              <w:pStyle w:val="41"/>
              <w:adjustRightInd w:val="0"/>
              <w:snapToGrid w:val="0"/>
              <w:spacing w:before="90"/>
              <w:rPr>
                <w:lang w:val="en-US"/>
              </w:rPr>
            </w:pPr>
            <w:r>
              <w:rPr>
                <w:rFonts w:hint="eastAsia"/>
              </w:rPr>
              <w:t>自</w:t>
            </w:r>
            <w:r>
              <w:rPr>
                <w:rFonts w:hint="eastAsia"/>
                <w:lang w:val="en-US"/>
              </w:rPr>
              <w:t>2015年1月1日至今（时间以获奖证书颁发时间为准），投标人作为消防工程项目承包单位所参建或承建的项目工程获得过省级或以上（省级如“黄山杯”或等同于“黄山杯”）奖项的，每提供一个得5分；获得过市级（如“皋城杯”或等同于“皋城杯”）奖项的，每提供一个得2分。</w:t>
            </w:r>
          </w:p>
          <w:p>
            <w:pPr>
              <w:pStyle w:val="41"/>
              <w:adjustRightInd w:val="0"/>
              <w:snapToGrid w:val="0"/>
              <w:spacing w:before="90"/>
            </w:pPr>
            <w:r>
              <w:rPr>
                <w:rFonts w:hint="eastAsia"/>
                <w:lang w:val="en-US"/>
              </w:rPr>
              <w:t>注：在投标文件中提供证书的扫描件（或复印件），评标现场提供原件备查，不提供或原件与复印件不一致的不得分。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11" w:hRule="atLeast"/>
          <w:jc w:val="center"/>
        </w:trPr>
        <w:tc>
          <w:tcPr>
            <w:tcW w:w="901" w:type="dxa"/>
            <w:vMerge w:val="continue"/>
            <w:vAlign w:val="center"/>
          </w:tcPr>
          <w:p>
            <w:pPr>
              <w:pStyle w:val="41"/>
              <w:adjustRightInd w:val="0"/>
              <w:snapToGrid w:val="0"/>
              <w:spacing w:before="90"/>
              <w:jc w:val="center"/>
            </w:pPr>
          </w:p>
        </w:tc>
        <w:tc>
          <w:tcPr>
            <w:tcW w:w="610" w:type="dxa"/>
            <w:vAlign w:val="center"/>
          </w:tcPr>
          <w:p>
            <w:pPr>
              <w:pStyle w:val="41"/>
              <w:adjustRightInd w:val="0"/>
              <w:snapToGrid w:val="0"/>
              <w:spacing w:before="90"/>
              <w:jc w:val="center"/>
              <w:rPr>
                <w:lang w:val="en-US"/>
              </w:rPr>
            </w:pPr>
          </w:p>
        </w:tc>
        <w:tc>
          <w:tcPr>
            <w:tcW w:w="1582" w:type="dxa"/>
            <w:tcMar>
              <w:top w:w="0" w:type="dxa"/>
              <w:left w:w="0" w:type="dxa"/>
              <w:bottom w:w="0" w:type="dxa"/>
              <w:right w:w="0" w:type="dxa"/>
            </w:tcMar>
            <w:vAlign w:val="center"/>
          </w:tcPr>
          <w:p>
            <w:pPr>
              <w:pStyle w:val="41"/>
              <w:adjustRightInd w:val="0"/>
              <w:snapToGrid w:val="0"/>
              <w:spacing w:before="90"/>
              <w:ind w:right="88"/>
              <w:jc w:val="left"/>
              <w:rPr>
                <w:color w:val="00B050"/>
              </w:rPr>
            </w:pPr>
          </w:p>
        </w:tc>
        <w:tc>
          <w:tcPr>
            <w:tcW w:w="1234" w:type="dxa"/>
            <w:vAlign w:val="center"/>
          </w:tcPr>
          <w:p>
            <w:pPr>
              <w:pStyle w:val="41"/>
              <w:adjustRightInd w:val="0"/>
              <w:snapToGrid w:val="0"/>
              <w:spacing w:before="90"/>
              <w:ind w:right="323"/>
              <w:jc w:val="center"/>
              <w:rPr>
                <w:color w:val="00B050"/>
                <w:lang w:val="en-US"/>
              </w:rPr>
            </w:pPr>
          </w:p>
        </w:tc>
        <w:tc>
          <w:tcPr>
            <w:tcW w:w="6443" w:type="dxa"/>
            <w:vAlign w:val="center"/>
          </w:tcPr>
          <w:p>
            <w:pPr>
              <w:pStyle w:val="41"/>
              <w:adjustRightInd w:val="0"/>
              <w:snapToGrid w:val="0"/>
              <w:spacing w:before="90"/>
              <w:rPr>
                <w:color w:val="00B050"/>
                <w:lang w:val="en-US"/>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11" w:hRule="atLeast"/>
          <w:jc w:val="center"/>
        </w:trPr>
        <w:tc>
          <w:tcPr>
            <w:tcW w:w="901" w:type="dxa"/>
            <w:vMerge w:val="continue"/>
            <w:vAlign w:val="center"/>
          </w:tcPr>
          <w:p>
            <w:pPr>
              <w:pStyle w:val="41"/>
              <w:adjustRightInd w:val="0"/>
              <w:snapToGrid w:val="0"/>
              <w:spacing w:before="90"/>
              <w:jc w:val="center"/>
            </w:pPr>
          </w:p>
        </w:tc>
        <w:tc>
          <w:tcPr>
            <w:tcW w:w="610" w:type="dxa"/>
            <w:vAlign w:val="center"/>
          </w:tcPr>
          <w:p>
            <w:pPr>
              <w:pStyle w:val="41"/>
              <w:adjustRightInd w:val="0"/>
              <w:snapToGrid w:val="0"/>
              <w:spacing w:before="90"/>
              <w:jc w:val="center"/>
              <w:rPr>
                <w:lang w:val="en-US"/>
              </w:rPr>
            </w:pPr>
          </w:p>
        </w:tc>
        <w:tc>
          <w:tcPr>
            <w:tcW w:w="1582" w:type="dxa"/>
            <w:tcMar>
              <w:top w:w="0" w:type="dxa"/>
              <w:left w:w="0" w:type="dxa"/>
              <w:bottom w:w="0" w:type="dxa"/>
              <w:right w:w="0" w:type="dxa"/>
            </w:tcMar>
            <w:vAlign w:val="center"/>
          </w:tcPr>
          <w:p>
            <w:pPr>
              <w:pStyle w:val="41"/>
              <w:adjustRightInd w:val="0"/>
              <w:snapToGrid w:val="0"/>
              <w:spacing w:before="90"/>
              <w:ind w:right="88"/>
              <w:jc w:val="center"/>
            </w:pPr>
            <w:r>
              <w:rPr>
                <w:rFonts w:hint="eastAsia"/>
              </w:rPr>
              <w:t>软件著作权</w:t>
            </w:r>
          </w:p>
        </w:tc>
        <w:tc>
          <w:tcPr>
            <w:tcW w:w="1234" w:type="dxa"/>
            <w:vAlign w:val="center"/>
          </w:tcPr>
          <w:p>
            <w:pPr>
              <w:pStyle w:val="41"/>
              <w:adjustRightInd w:val="0"/>
              <w:snapToGrid w:val="0"/>
              <w:spacing w:before="90"/>
              <w:ind w:right="323"/>
              <w:jc w:val="center"/>
              <w:rPr>
                <w:lang w:val="en-US"/>
              </w:rPr>
            </w:pPr>
            <w:r>
              <w:rPr>
                <w:rFonts w:hint="eastAsia"/>
                <w:lang w:val="en-US"/>
              </w:rPr>
              <w:t>2</w:t>
            </w:r>
          </w:p>
        </w:tc>
        <w:tc>
          <w:tcPr>
            <w:tcW w:w="6443" w:type="dxa"/>
            <w:vAlign w:val="center"/>
          </w:tcPr>
          <w:p>
            <w:pPr>
              <w:pStyle w:val="41"/>
              <w:adjustRightInd w:val="0"/>
              <w:snapToGrid w:val="0"/>
              <w:spacing w:before="90"/>
              <w:rPr>
                <w:lang w:val="en-US"/>
              </w:rPr>
            </w:pPr>
            <w:r>
              <w:rPr>
                <w:rFonts w:hint="eastAsia"/>
              </w:rPr>
              <w:t>具备和智慧消防综合管理平台软件著作权证书，有一个得</w:t>
            </w:r>
            <w:r>
              <w:rPr>
                <w:lang w:val="en-US"/>
              </w:rPr>
              <w:t>2</w:t>
            </w:r>
            <w:r>
              <w:rPr>
                <w:rFonts w:hint="eastAsia"/>
                <w:lang w:val="en-US"/>
              </w:rPr>
              <w:t>分，最高得2分。</w:t>
            </w:r>
          </w:p>
          <w:p>
            <w:pPr>
              <w:pStyle w:val="41"/>
              <w:adjustRightInd w:val="0"/>
              <w:snapToGrid w:val="0"/>
              <w:spacing w:before="90"/>
              <w:rPr>
                <w:lang w:val="en-US"/>
              </w:rPr>
            </w:pPr>
            <w:r>
              <w:rPr>
                <w:rFonts w:hint="eastAsia"/>
                <w:lang w:val="en-US"/>
              </w:rPr>
              <w:t>注：在投标文件中提供证书的扫描件（或复印件），评标现场提供原件备查，不提供或原件与复印件不一致的不得分。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10" w:hRule="atLeast"/>
          <w:jc w:val="center"/>
        </w:trPr>
        <w:tc>
          <w:tcPr>
            <w:tcW w:w="901" w:type="dxa"/>
            <w:vAlign w:val="center"/>
          </w:tcPr>
          <w:p>
            <w:pPr>
              <w:pStyle w:val="41"/>
              <w:adjustRightInd w:val="0"/>
              <w:snapToGrid w:val="0"/>
              <w:spacing w:before="90"/>
              <w:jc w:val="center"/>
            </w:pPr>
          </w:p>
        </w:tc>
        <w:tc>
          <w:tcPr>
            <w:tcW w:w="610" w:type="dxa"/>
            <w:vAlign w:val="center"/>
          </w:tcPr>
          <w:p>
            <w:pPr>
              <w:pStyle w:val="41"/>
              <w:adjustRightInd w:val="0"/>
              <w:snapToGrid w:val="0"/>
              <w:spacing w:before="90"/>
              <w:jc w:val="center"/>
              <w:rPr>
                <w:lang w:val="en-US"/>
              </w:rPr>
            </w:pPr>
          </w:p>
        </w:tc>
        <w:tc>
          <w:tcPr>
            <w:tcW w:w="1582" w:type="dxa"/>
            <w:vAlign w:val="center"/>
          </w:tcPr>
          <w:p>
            <w:pPr>
              <w:adjustRightInd w:val="0"/>
              <w:snapToGrid w:val="0"/>
              <w:spacing w:beforeLines="10" w:after="30" w:line="360" w:lineRule="auto"/>
              <w:jc w:val="center"/>
              <w:rPr>
                <w:rFonts w:ascii="宋体" w:hAnsi="宋体" w:cs="宋体"/>
                <w:bCs/>
                <w:sz w:val="22"/>
                <w:szCs w:val="22"/>
              </w:rPr>
            </w:pPr>
            <w:r>
              <w:rPr>
                <w:rFonts w:hint="eastAsia" w:ascii="宋体" w:hAnsi="宋体" w:cs="宋体"/>
                <w:bCs/>
                <w:sz w:val="22"/>
                <w:szCs w:val="22"/>
              </w:rPr>
              <w:t>财务状况</w:t>
            </w:r>
          </w:p>
        </w:tc>
        <w:tc>
          <w:tcPr>
            <w:tcW w:w="1234" w:type="dxa"/>
            <w:vAlign w:val="center"/>
          </w:tcPr>
          <w:p>
            <w:pPr>
              <w:widowControl/>
              <w:adjustRightInd w:val="0"/>
              <w:snapToGrid w:val="0"/>
              <w:spacing w:beforeLines="10" w:after="30" w:line="360" w:lineRule="auto"/>
              <w:jc w:val="center"/>
              <w:rPr>
                <w:rFonts w:ascii="宋体" w:hAnsi="宋体" w:cs="宋体"/>
                <w:bCs/>
                <w:sz w:val="22"/>
                <w:szCs w:val="22"/>
              </w:rPr>
            </w:pPr>
            <w:r>
              <w:rPr>
                <w:rFonts w:hint="eastAsia" w:ascii="宋体" w:hAnsi="宋体" w:cs="宋体"/>
                <w:bCs/>
                <w:sz w:val="22"/>
                <w:szCs w:val="22"/>
              </w:rPr>
              <w:t>3分</w:t>
            </w:r>
          </w:p>
        </w:tc>
        <w:tc>
          <w:tcPr>
            <w:tcW w:w="6443" w:type="dxa"/>
            <w:vAlign w:val="center"/>
          </w:tcPr>
          <w:p>
            <w:pPr>
              <w:adjustRightInd w:val="0"/>
              <w:snapToGrid w:val="0"/>
              <w:spacing w:beforeLines="10" w:after="30" w:line="360" w:lineRule="auto"/>
              <w:rPr>
                <w:rFonts w:ascii="宋体" w:hAnsi="宋体" w:cs="宋体"/>
                <w:bCs/>
                <w:sz w:val="22"/>
                <w:szCs w:val="22"/>
              </w:rPr>
            </w:pPr>
            <w:r>
              <w:rPr>
                <w:rFonts w:hint="eastAsia" w:ascii="宋体" w:hAnsi="宋体" w:cs="宋体"/>
                <w:bCs/>
                <w:sz w:val="22"/>
                <w:szCs w:val="22"/>
              </w:rPr>
              <w:t>根据投标人2015年以来的财务状况进行评审，三年或以上盈利的得3分，两年盈利的得2分，一年盈利的得1分，无不得分。</w:t>
            </w:r>
          </w:p>
          <w:p>
            <w:pPr>
              <w:adjustRightInd w:val="0"/>
              <w:snapToGrid w:val="0"/>
              <w:spacing w:beforeLines="10" w:after="30" w:line="360" w:lineRule="auto"/>
              <w:rPr>
                <w:rFonts w:ascii="宋体" w:hAnsi="宋体" w:cs="宋体"/>
                <w:b/>
                <w:bCs/>
                <w:sz w:val="22"/>
                <w:szCs w:val="22"/>
              </w:rPr>
            </w:pPr>
            <w:r>
              <w:rPr>
                <w:rFonts w:hint="eastAsia" w:ascii="宋体" w:hAnsi="宋体" w:cs="宋体"/>
                <w:b/>
                <w:bCs/>
                <w:sz w:val="22"/>
                <w:szCs w:val="22"/>
              </w:rPr>
              <w:t>注：以经会计师事务所审计的财务报表复印件加盖投标人公章为准。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10" w:hRule="atLeast"/>
          <w:jc w:val="center"/>
        </w:trPr>
        <w:tc>
          <w:tcPr>
            <w:tcW w:w="901" w:type="dxa"/>
            <w:vAlign w:val="center"/>
          </w:tcPr>
          <w:p>
            <w:pPr>
              <w:pStyle w:val="41"/>
              <w:adjustRightInd w:val="0"/>
              <w:snapToGrid w:val="0"/>
              <w:spacing w:before="90"/>
              <w:jc w:val="center"/>
            </w:pPr>
          </w:p>
        </w:tc>
        <w:tc>
          <w:tcPr>
            <w:tcW w:w="610" w:type="dxa"/>
            <w:vAlign w:val="center"/>
          </w:tcPr>
          <w:p>
            <w:pPr>
              <w:pStyle w:val="41"/>
              <w:adjustRightInd w:val="0"/>
              <w:snapToGrid w:val="0"/>
              <w:spacing w:before="90"/>
              <w:jc w:val="center"/>
              <w:rPr>
                <w:lang w:val="en-US"/>
              </w:rPr>
            </w:pPr>
          </w:p>
        </w:tc>
        <w:tc>
          <w:tcPr>
            <w:tcW w:w="1582" w:type="dxa"/>
            <w:vMerge w:val="restart"/>
            <w:vAlign w:val="center"/>
          </w:tcPr>
          <w:p>
            <w:pPr>
              <w:adjustRightInd w:val="0"/>
              <w:snapToGrid w:val="0"/>
              <w:spacing w:beforeLines="10" w:after="30" w:line="360" w:lineRule="auto"/>
              <w:jc w:val="center"/>
              <w:rPr>
                <w:rFonts w:ascii="宋体" w:hAnsi="宋体" w:cs="宋体"/>
                <w:bCs/>
                <w:sz w:val="22"/>
                <w:szCs w:val="22"/>
              </w:rPr>
            </w:pPr>
            <w:r>
              <w:rPr>
                <w:rFonts w:hint="eastAsia" w:ascii="宋体" w:hAnsi="宋体" w:cs="宋体"/>
                <w:bCs/>
                <w:sz w:val="22"/>
                <w:szCs w:val="22"/>
              </w:rPr>
              <w:t>公司实力及信誉度</w:t>
            </w:r>
          </w:p>
        </w:tc>
        <w:tc>
          <w:tcPr>
            <w:tcW w:w="1234" w:type="dxa"/>
            <w:vAlign w:val="center"/>
          </w:tcPr>
          <w:p>
            <w:pPr>
              <w:widowControl/>
              <w:adjustRightInd w:val="0"/>
              <w:snapToGrid w:val="0"/>
              <w:spacing w:beforeLines="10" w:after="30" w:line="360" w:lineRule="auto"/>
              <w:jc w:val="center"/>
              <w:rPr>
                <w:rFonts w:ascii="宋体" w:hAnsi="宋体" w:cs="宋体"/>
                <w:bCs/>
                <w:sz w:val="22"/>
                <w:szCs w:val="22"/>
              </w:rPr>
            </w:pPr>
            <w:r>
              <w:rPr>
                <w:rFonts w:hint="eastAsia" w:ascii="宋体" w:hAnsi="宋体" w:cs="宋体"/>
                <w:bCs/>
                <w:sz w:val="22"/>
                <w:szCs w:val="22"/>
              </w:rPr>
              <w:t>5分</w:t>
            </w:r>
          </w:p>
        </w:tc>
        <w:tc>
          <w:tcPr>
            <w:tcW w:w="6443" w:type="dxa"/>
            <w:vAlign w:val="center"/>
          </w:tcPr>
          <w:p>
            <w:pPr>
              <w:adjustRightInd w:val="0"/>
              <w:snapToGrid w:val="0"/>
              <w:spacing w:beforeLines="10" w:after="30" w:line="360" w:lineRule="auto"/>
              <w:rPr>
                <w:rFonts w:ascii="宋体" w:hAnsi="宋体" w:cs="宋体"/>
                <w:bCs/>
                <w:sz w:val="22"/>
                <w:szCs w:val="22"/>
              </w:rPr>
            </w:pPr>
            <w:r>
              <w:rPr>
                <w:rFonts w:hint="eastAsia" w:ascii="宋体" w:hAnsi="宋体" w:cs="宋体"/>
                <w:bCs/>
                <w:sz w:val="22"/>
                <w:szCs w:val="22"/>
              </w:rPr>
              <w:t>根据投标人2014年1月1日以来承接过的消防工程项目获得由行政区政府、建设行政主管部门或行业协会（学会）颁发的奖项进行评审，为国家级的每提供一项得2分；为省级的每提供一项得1分；为市级的每提供一项得0.5分；满分5分。</w:t>
            </w:r>
          </w:p>
          <w:p>
            <w:pPr>
              <w:adjustRightInd w:val="0"/>
              <w:snapToGrid w:val="0"/>
              <w:spacing w:beforeLines="10" w:after="30" w:line="360" w:lineRule="auto"/>
              <w:rPr>
                <w:rFonts w:ascii="宋体" w:hAnsi="宋体" w:cs="宋体"/>
                <w:bCs/>
                <w:sz w:val="22"/>
                <w:szCs w:val="22"/>
              </w:rPr>
            </w:pPr>
            <w:r>
              <w:rPr>
                <w:rFonts w:hint="eastAsia" w:ascii="宋体" w:hAnsi="宋体" w:cs="宋体"/>
                <w:b/>
                <w:bCs/>
                <w:sz w:val="22"/>
                <w:szCs w:val="22"/>
              </w:rPr>
              <w:t>注：获奖时间以获奖证书或网上公示获奖的时间为准，须提供获奖证书或网上公示获奖页面截图凭证的复印件加盖投标人公章。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110" w:hRule="atLeast"/>
          <w:jc w:val="center"/>
        </w:trPr>
        <w:tc>
          <w:tcPr>
            <w:tcW w:w="901" w:type="dxa"/>
            <w:vAlign w:val="center"/>
          </w:tcPr>
          <w:p>
            <w:pPr>
              <w:pStyle w:val="41"/>
              <w:adjustRightInd w:val="0"/>
              <w:snapToGrid w:val="0"/>
              <w:spacing w:before="90"/>
              <w:jc w:val="center"/>
            </w:pPr>
          </w:p>
        </w:tc>
        <w:tc>
          <w:tcPr>
            <w:tcW w:w="610" w:type="dxa"/>
            <w:vAlign w:val="center"/>
          </w:tcPr>
          <w:p>
            <w:pPr>
              <w:pStyle w:val="41"/>
              <w:adjustRightInd w:val="0"/>
              <w:snapToGrid w:val="0"/>
              <w:spacing w:before="90"/>
              <w:jc w:val="center"/>
              <w:rPr>
                <w:lang w:val="en-US"/>
              </w:rPr>
            </w:pPr>
          </w:p>
        </w:tc>
        <w:tc>
          <w:tcPr>
            <w:tcW w:w="1582" w:type="dxa"/>
            <w:vMerge w:val="continue"/>
            <w:vAlign w:val="center"/>
          </w:tcPr>
          <w:p>
            <w:pPr>
              <w:adjustRightInd w:val="0"/>
              <w:snapToGrid w:val="0"/>
              <w:spacing w:beforeLines="10" w:after="30" w:line="360" w:lineRule="auto"/>
              <w:jc w:val="center"/>
              <w:rPr>
                <w:rFonts w:ascii="宋体" w:hAnsi="宋体" w:cs="宋体"/>
                <w:bCs/>
                <w:sz w:val="22"/>
                <w:szCs w:val="22"/>
              </w:rPr>
            </w:pPr>
          </w:p>
        </w:tc>
        <w:tc>
          <w:tcPr>
            <w:tcW w:w="1234" w:type="dxa"/>
            <w:vAlign w:val="center"/>
          </w:tcPr>
          <w:p>
            <w:pPr>
              <w:widowControl/>
              <w:adjustRightInd w:val="0"/>
              <w:snapToGrid w:val="0"/>
              <w:spacing w:beforeLines="10" w:after="30" w:line="360" w:lineRule="auto"/>
              <w:jc w:val="center"/>
              <w:rPr>
                <w:rFonts w:ascii="宋体" w:hAnsi="宋体" w:cs="宋体"/>
                <w:bCs/>
                <w:sz w:val="22"/>
                <w:szCs w:val="22"/>
              </w:rPr>
            </w:pPr>
            <w:r>
              <w:rPr>
                <w:rFonts w:hint="eastAsia" w:ascii="宋体" w:hAnsi="宋体" w:cs="宋体"/>
                <w:bCs/>
                <w:sz w:val="22"/>
                <w:szCs w:val="22"/>
              </w:rPr>
              <w:t>3分</w:t>
            </w:r>
          </w:p>
        </w:tc>
        <w:tc>
          <w:tcPr>
            <w:tcW w:w="6443" w:type="dxa"/>
            <w:vAlign w:val="center"/>
          </w:tcPr>
          <w:p>
            <w:pPr>
              <w:adjustRightInd w:val="0"/>
              <w:snapToGrid w:val="0"/>
              <w:spacing w:beforeLines="10" w:after="30" w:line="360" w:lineRule="auto"/>
              <w:rPr>
                <w:rFonts w:ascii="宋体" w:hAnsi="宋体" w:cs="宋体"/>
                <w:bCs/>
                <w:sz w:val="22"/>
                <w:szCs w:val="22"/>
              </w:rPr>
            </w:pPr>
            <w:r>
              <w:rPr>
                <w:rFonts w:hint="eastAsia" w:ascii="宋体" w:hAnsi="宋体" w:cs="宋体"/>
                <w:sz w:val="22"/>
                <w:szCs w:val="22"/>
              </w:rPr>
              <w:t>2016年以来获得由工商行政管理部门或市场监督管理部门（如投标人注册所在地的上述部门不再颁发的，则所在地的相关协会颁发的同等认可）颁发的守合同重信用企业证书或重合同守信用证书</w:t>
            </w:r>
            <w:r>
              <w:rPr>
                <w:rFonts w:hint="eastAsia" w:ascii="宋体" w:hAnsi="宋体" w:cs="宋体"/>
                <w:bCs/>
                <w:sz w:val="22"/>
                <w:szCs w:val="22"/>
              </w:rPr>
              <w:t>的，每有一年获得的得1分，满分3分。</w:t>
            </w:r>
          </w:p>
          <w:p>
            <w:pPr>
              <w:adjustRightInd w:val="0"/>
              <w:snapToGrid w:val="0"/>
              <w:spacing w:beforeLines="10" w:after="30" w:line="360" w:lineRule="auto"/>
              <w:rPr>
                <w:rFonts w:ascii="宋体" w:hAnsi="宋体" w:cs="宋体"/>
                <w:sz w:val="22"/>
                <w:szCs w:val="22"/>
              </w:rPr>
            </w:pPr>
            <w:r>
              <w:rPr>
                <w:rFonts w:hint="eastAsia" w:ascii="宋体" w:hAnsi="宋体" w:cs="宋体"/>
                <w:b/>
                <w:bCs/>
                <w:sz w:val="22"/>
                <w:szCs w:val="22"/>
              </w:rPr>
              <w:t>注：须提供证书复印件加盖投标人公章。</w:t>
            </w:r>
          </w:p>
        </w:tc>
      </w:tr>
    </w:tbl>
    <w:p>
      <w:pPr>
        <w:pStyle w:val="9"/>
        <w:adjustRightInd w:val="0"/>
        <w:snapToGrid w:val="0"/>
        <w:spacing w:line="388" w:lineRule="auto"/>
        <w:ind w:right="1092"/>
      </w:pPr>
    </w:p>
    <w:p>
      <w:pPr>
        <w:pStyle w:val="9"/>
        <w:adjustRightInd w:val="0"/>
        <w:snapToGrid w:val="0"/>
        <w:spacing w:line="389" w:lineRule="auto"/>
      </w:pPr>
      <w:r>
        <w:rPr>
          <w:rFonts w:hint="eastAsia"/>
        </w:rPr>
        <w:t>注：</w:t>
      </w:r>
      <w:r>
        <w:rPr>
          <w:rFonts w:hint="eastAsia"/>
          <w:spacing w:val="-3"/>
        </w:rPr>
        <w:t>评委对技术标一的评分不足技术标</w:t>
      </w:r>
      <w:r>
        <w:rPr>
          <w:rFonts w:hint="eastAsia"/>
          <w:spacing w:val="-3"/>
          <w:lang w:val="en-US"/>
        </w:rPr>
        <w:t>9分</w:t>
      </w:r>
      <w:r>
        <w:rPr>
          <w:rFonts w:hint="eastAsia"/>
        </w:rPr>
        <w:t>，或者超过</w:t>
      </w:r>
      <w:r>
        <w:rPr>
          <w:rFonts w:hint="eastAsia"/>
          <w:spacing w:val="-5"/>
          <w:lang w:val="en-US"/>
        </w:rPr>
        <w:t>13.5分</w:t>
      </w:r>
      <w:r>
        <w:rPr>
          <w:rFonts w:hint="eastAsia"/>
          <w:spacing w:val="-1"/>
        </w:rPr>
        <w:t>的，应当对其评分做出书面说明，否则取消其评分；最终技术标得分为所有评委评分的算数平均值。</w:t>
      </w:r>
    </w:p>
    <w:p>
      <w:pPr>
        <w:pStyle w:val="6"/>
        <w:adjustRightInd w:val="0"/>
        <w:snapToGrid w:val="0"/>
        <w:ind w:left="0"/>
        <w:rPr>
          <w:sz w:val="32"/>
          <w:szCs w:val="32"/>
        </w:rPr>
      </w:pPr>
    </w:p>
    <w:p>
      <w:pPr>
        <w:pStyle w:val="6"/>
        <w:adjustRightInd w:val="0"/>
        <w:snapToGrid w:val="0"/>
        <w:ind w:left="0"/>
        <w:rPr>
          <w:sz w:val="32"/>
          <w:szCs w:val="32"/>
        </w:rPr>
      </w:pPr>
    </w:p>
    <w:p>
      <w:pPr>
        <w:pStyle w:val="6"/>
        <w:adjustRightInd w:val="0"/>
        <w:snapToGrid w:val="0"/>
        <w:ind w:left="0"/>
        <w:rPr>
          <w:sz w:val="32"/>
          <w:szCs w:val="32"/>
        </w:rPr>
      </w:pPr>
    </w:p>
    <w:p>
      <w:pPr>
        <w:pStyle w:val="6"/>
        <w:adjustRightInd w:val="0"/>
        <w:snapToGrid w:val="0"/>
        <w:ind w:left="0"/>
        <w:rPr>
          <w:sz w:val="32"/>
          <w:szCs w:val="32"/>
        </w:rPr>
      </w:pPr>
    </w:p>
    <w:p>
      <w:pPr>
        <w:pStyle w:val="6"/>
        <w:adjustRightInd w:val="0"/>
        <w:snapToGrid w:val="0"/>
        <w:ind w:left="0"/>
        <w:rPr>
          <w:sz w:val="32"/>
          <w:szCs w:val="32"/>
        </w:rPr>
      </w:pPr>
    </w:p>
    <w:p>
      <w:pPr>
        <w:pStyle w:val="6"/>
        <w:adjustRightInd w:val="0"/>
        <w:snapToGrid w:val="0"/>
        <w:ind w:left="0"/>
        <w:rPr>
          <w:sz w:val="32"/>
          <w:szCs w:val="32"/>
        </w:rPr>
      </w:pPr>
    </w:p>
    <w:p>
      <w:pPr>
        <w:rPr>
          <w:rFonts w:ascii="宋体" w:hAnsi="宋体" w:cs="宋体"/>
          <w:sz w:val="32"/>
          <w:szCs w:val="32"/>
        </w:rPr>
      </w:pPr>
      <w:r>
        <w:rPr>
          <w:rFonts w:hint="eastAsia" w:ascii="宋体" w:hAnsi="宋体" w:cs="宋体"/>
          <w:sz w:val="32"/>
          <w:szCs w:val="32"/>
        </w:rPr>
        <w:br w:type="page"/>
      </w:r>
    </w:p>
    <w:p>
      <w:pPr>
        <w:pStyle w:val="6"/>
        <w:adjustRightInd w:val="0"/>
        <w:snapToGrid w:val="0"/>
        <w:ind w:left="0"/>
        <w:rPr>
          <w:sz w:val="44"/>
          <w:szCs w:val="32"/>
        </w:rPr>
      </w:pPr>
      <w:r>
        <w:rPr>
          <w:rFonts w:hint="eastAsia"/>
          <w:sz w:val="32"/>
          <w:szCs w:val="32"/>
        </w:rPr>
        <w:t>商务标评分标准</w:t>
      </w:r>
    </w:p>
    <w:tbl>
      <w:tblPr>
        <w:tblStyle w:val="23"/>
        <w:tblpPr w:leftFromText="180" w:rightFromText="180" w:vertAnchor="text" w:horzAnchor="page" w:tblpX="1311" w:tblpY="386"/>
        <w:tblOverlap w:val="never"/>
        <w:tblW w:w="987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200"/>
        <w:gridCol w:w="1232"/>
        <w:gridCol w:w="543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95" w:hRule="atLeast"/>
        </w:trPr>
        <w:tc>
          <w:tcPr>
            <w:tcW w:w="3200" w:type="dxa"/>
            <w:vAlign w:val="center"/>
          </w:tcPr>
          <w:p>
            <w:pPr>
              <w:pStyle w:val="41"/>
              <w:adjustRightInd w:val="0"/>
              <w:snapToGrid w:val="0"/>
              <w:spacing w:before="90"/>
              <w:ind w:right="1303"/>
              <w:jc w:val="center"/>
            </w:pPr>
            <w:r>
              <w:rPr>
                <w:rFonts w:hint="eastAsia"/>
              </w:rPr>
              <w:t>项目</w:t>
            </w:r>
          </w:p>
        </w:tc>
        <w:tc>
          <w:tcPr>
            <w:tcW w:w="1232" w:type="dxa"/>
            <w:vAlign w:val="center"/>
          </w:tcPr>
          <w:p>
            <w:pPr>
              <w:pStyle w:val="41"/>
              <w:adjustRightInd w:val="0"/>
              <w:snapToGrid w:val="0"/>
              <w:spacing w:before="90"/>
              <w:jc w:val="center"/>
            </w:pPr>
            <w:r>
              <w:rPr>
                <w:rFonts w:hint="eastAsia"/>
              </w:rPr>
              <w:t>分项</w:t>
            </w:r>
          </w:p>
        </w:tc>
        <w:tc>
          <w:tcPr>
            <w:tcW w:w="5438" w:type="dxa"/>
            <w:vAlign w:val="center"/>
          </w:tcPr>
          <w:p>
            <w:pPr>
              <w:pStyle w:val="41"/>
              <w:adjustRightInd w:val="0"/>
              <w:snapToGrid w:val="0"/>
              <w:spacing w:before="90"/>
              <w:ind w:right="2221"/>
              <w:jc w:val="center"/>
            </w:pPr>
            <w:r>
              <w:rPr>
                <w:rFonts w:hint="eastAsia"/>
              </w:rPr>
              <w:t>评分办法</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741" w:hRule="atLeast"/>
        </w:trPr>
        <w:tc>
          <w:tcPr>
            <w:tcW w:w="3200" w:type="dxa"/>
            <w:vAlign w:val="center"/>
          </w:tcPr>
          <w:p>
            <w:pPr>
              <w:pStyle w:val="41"/>
              <w:adjustRightInd w:val="0"/>
              <w:snapToGrid w:val="0"/>
              <w:spacing w:before="0"/>
              <w:jc w:val="center"/>
              <w:rPr>
                <w:b/>
                <w:sz w:val="20"/>
              </w:rPr>
            </w:pPr>
          </w:p>
          <w:p>
            <w:pPr>
              <w:pStyle w:val="41"/>
              <w:adjustRightInd w:val="0"/>
              <w:snapToGrid w:val="0"/>
              <w:spacing w:before="2"/>
              <w:jc w:val="center"/>
              <w:rPr>
                <w:b/>
                <w:sz w:val="16"/>
              </w:rPr>
            </w:pPr>
          </w:p>
          <w:p>
            <w:pPr>
              <w:pStyle w:val="41"/>
              <w:adjustRightInd w:val="0"/>
              <w:snapToGrid w:val="0"/>
              <w:spacing w:before="1"/>
              <w:jc w:val="center"/>
            </w:pPr>
            <w:r>
              <w:rPr>
                <w:rFonts w:hint="eastAsia"/>
              </w:rPr>
              <w:t>总报价</w:t>
            </w:r>
            <w:r>
              <w:rPr>
                <w:rFonts w:hint="eastAsia"/>
                <w:lang w:val="en-US"/>
              </w:rPr>
              <w:t>40</w:t>
            </w:r>
            <w:r>
              <w:rPr>
                <w:rFonts w:hint="eastAsia"/>
              </w:rPr>
              <w:t xml:space="preserve"> 分</w:t>
            </w:r>
          </w:p>
        </w:tc>
        <w:tc>
          <w:tcPr>
            <w:tcW w:w="1232" w:type="dxa"/>
            <w:vAlign w:val="center"/>
          </w:tcPr>
          <w:p>
            <w:pPr>
              <w:pStyle w:val="41"/>
              <w:adjustRightInd w:val="0"/>
              <w:snapToGrid w:val="0"/>
              <w:spacing w:before="0"/>
              <w:jc w:val="center"/>
              <w:rPr>
                <w:b/>
                <w:sz w:val="20"/>
              </w:rPr>
            </w:pPr>
          </w:p>
          <w:p>
            <w:pPr>
              <w:pStyle w:val="41"/>
              <w:adjustRightInd w:val="0"/>
              <w:snapToGrid w:val="0"/>
              <w:spacing w:before="2"/>
              <w:jc w:val="center"/>
              <w:rPr>
                <w:b/>
                <w:sz w:val="16"/>
              </w:rPr>
            </w:pPr>
          </w:p>
          <w:p>
            <w:pPr>
              <w:pStyle w:val="41"/>
              <w:adjustRightInd w:val="0"/>
              <w:snapToGrid w:val="0"/>
              <w:spacing w:before="1"/>
              <w:jc w:val="center"/>
            </w:pPr>
            <w:r>
              <w:rPr>
                <w:rFonts w:hint="eastAsia"/>
                <w:lang w:val="en-US"/>
              </w:rPr>
              <w:t>40</w:t>
            </w:r>
            <w:r>
              <w:rPr>
                <w:rFonts w:hint="eastAsia"/>
              </w:rPr>
              <w:t>分</w:t>
            </w:r>
          </w:p>
        </w:tc>
        <w:tc>
          <w:tcPr>
            <w:tcW w:w="5438" w:type="dxa"/>
          </w:tcPr>
          <w:p>
            <w:pPr>
              <w:pStyle w:val="41"/>
              <w:adjustRightInd w:val="0"/>
              <w:snapToGrid w:val="0"/>
              <w:spacing w:before="90" w:line="280" w:lineRule="auto"/>
              <w:ind w:right="80"/>
              <w:jc w:val="left"/>
            </w:pPr>
            <w:r>
              <w:rPr>
                <w:rFonts w:hint="eastAsia"/>
                <w:snapToGrid w:val="0"/>
                <w:kern w:val="0"/>
              </w:rPr>
              <w:t>投标价等于评标基准价的投标人，其报价得分为满分。高于评标基准值后，每高出1%在满分基础上减0.</w:t>
            </w:r>
            <w:r>
              <w:rPr>
                <w:rFonts w:hint="eastAsia"/>
                <w:snapToGrid w:val="0"/>
                <w:kern w:val="0"/>
                <w:lang w:val="en-US"/>
              </w:rPr>
              <w:t>2</w:t>
            </w:r>
            <w:r>
              <w:rPr>
                <w:rFonts w:hint="eastAsia"/>
                <w:snapToGrid w:val="0"/>
                <w:kern w:val="0"/>
              </w:rPr>
              <w:t>分，减完为止；低于评标基准值的，每降低 1%在满分基础上减 0.</w:t>
            </w:r>
            <w:r>
              <w:rPr>
                <w:rFonts w:hint="eastAsia"/>
                <w:snapToGrid w:val="0"/>
                <w:kern w:val="0"/>
                <w:lang w:val="en-US"/>
              </w:rPr>
              <w:t>1</w:t>
            </w:r>
            <w:r>
              <w:rPr>
                <w:rFonts w:hint="eastAsia"/>
                <w:snapToGrid w:val="0"/>
                <w:kern w:val="0"/>
              </w:rPr>
              <w:t xml:space="preserve"> 分，减完为止。（不足 1%的按插入法计算保留小数点后两位有效数字。）</w:t>
            </w:r>
          </w:p>
          <w:p>
            <w:pPr>
              <w:pStyle w:val="41"/>
              <w:adjustRightInd w:val="0"/>
              <w:snapToGrid w:val="0"/>
              <w:spacing w:before="87" w:line="280" w:lineRule="auto"/>
              <w:ind w:right="184"/>
            </w:pPr>
            <w:r>
              <w:rPr>
                <w:rFonts w:hint="eastAsia"/>
              </w:rPr>
              <w:t>本项目评标基准值为所有有效报价的算数平均值。</w:t>
            </w:r>
          </w:p>
          <w:p>
            <w:pPr>
              <w:pStyle w:val="41"/>
              <w:adjustRightInd w:val="0"/>
              <w:snapToGrid w:val="0"/>
              <w:spacing w:before="90" w:line="280" w:lineRule="auto"/>
              <w:ind w:right="80"/>
              <w:jc w:val="left"/>
            </w:pPr>
            <w:r>
              <w:rPr>
                <w:rFonts w:hint="eastAsia"/>
                <w:szCs w:val="21"/>
                <w:lang w:val="en-US"/>
              </w:rPr>
              <w:t>“有效报价”标准为：①报价是否响应本招标文件的实质性要求；②报价是否会降低本招标文件规定的质量、服务内容等；③报价是否会低于投标成本（</w:t>
            </w:r>
            <w:r>
              <w:rPr>
                <w:rFonts w:hint="eastAsia"/>
                <w:b/>
                <w:bCs/>
                <w:color w:val="FF0000"/>
                <w:szCs w:val="21"/>
                <w:lang w:val="en-US"/>
              </w:rPr>
              <w:t>本项目成本价规定为评标基准值的85%）</w:t>
            </w:r>
            <w:r>
              <w:rPr>
                <w:rFonts w:hint="eastAsia"/>
                <w:szCs w:val="21"/>
                <w:lang w:val="en-US"/>
              </w:rPr>
              <w:t>；④是否有重大缺项漏项或错项。</w:t>
            </w:r>
          </w:p>
        </w:tc>
      </w:tr>
    </w:tbl>
    <w:p>
      <w:pPr>
        <w:adjustRightInd w:val="0"/>
        <w:snapToGrid w:val="0"/>
        <w:spacing w:line="360" w:lineRule="auto"/>
        <w:ind w:left="423" w:leftChars="200" w:hanging="3"/>
        <w:rPr>
          <w:rFonts w:ascii="宋体" w:hAnsi="宋体" w:cs="宋体"/>
          <w:b/>
        </w:rPr>
      </w:pPr>
    </w:p>
    <w:p>
      <w:pPr>
        <w:adjustRightInd w:val="0"/>
        <w:snapToGrid w:val="0"/>
        <w:spacing w:line="360" w:lineRule="auto"/>
        <w:ind w:left="423" w:leftChars="200" w:hanging="3"/>
        <w:rPr>
          <w:rFonts w:ascii="宋体" w:hAnsi="宋体" w:cs="宋体"/>
          <w:b/>
        </w:rPr>
      </w:pPr>
      <w:r>
        <w:rPr>
          <w:rFonts w:hint="eastAsia" w:ascii="宋体" w:hAnsi="宋体" w:cs="宋体"/>
          <w:b/>
        </w:rPr>
        <w:t>以上评分均保留小数点后两位有效数字。</w:t>
      </w:r>
    </w:p>
    <w:p>
      <w:pPr>
        <w:adjustRightInd w:val="0"/>
        <w:snapToGrid w:val="0"/>
        <w:spacing w:line="360" w:lineRule="auto"/>
        <w:ind w:left="423" w:leftChars="200" w:hanging="3"/>
        <w:rPr>
          <w:rFonts w:ascii="宋体" w:hAnsi="宋体" w:cs="宋体"/>
          <w:b/>
        </w:rPr>
      </w:pPr>
    </w:p>
    <w:p>
      <w:pPr>
        <w:adjustRightInd w:val="0"/>
        <w:snapToGrid w:val="0"/>
        <w:spacing w:line="360" w:lineRule="auto"/>
        <w:ind w:left="423" w:leftChars="200" w:hanging="3"/>
        <w:rPr>
          <w:rFonts w:ascii="宋体" w:hAnsi="宋体" w:cs="宋体"/>
          <w:b/>
          <w:sz w:val="24"/>
        </w:rPr>
      </w:pPr>
      <w:r>
        <w:rPr>
          <w:rFonts w:hint="eastAsia" w:ascii="宋体" w:hAnsi="宋体" w:cs="宋体"/>
          <w:b/>
          <w:sz w:val="24"/>
        </w:rPr>
        <w:t>1．评标方法</w:t>
      </w:r>
    </w:p>
    <w:p>
      <w:pPr>
        <w:adjustRightInd w:val="0"/>
        <w:snapToGrid w:val="0"/>
        <w:spacing w:line="360" w:lineRule="auto"/>
        <w:ind w:left="423" w:leftChars="200" w:hanging="3"/>
        <w:rPr>
          <w:rFonts w:ascii="宋体" w:hAnsi="宋体" w:cs="宋体"/>
          <w:color w:val="FF0000"/>
          <w:sz w:val="40"/>
          <w:szCs w:val="21"/>
        </w:rPr>
      </w:pPr>
      <w:r>
        <w:rPr>
          <w:rFonts w:hint="eastAsia" w:ascii="宋体" w:hAnsi="宋体" w:cs="宋体"/>
          <w:b/>
          <w:bCs/>
          <w:sz w:val="24"/>
        </w:rPr>
        <w:t>1.1</w:t>
      </w:r>
      <w:r>
        <w:rPr>
          <w:rFonts w:hint="eastAsia" w:ascii="宋体" w:hAnsi="宋体" w:cs="宋体"/>
          <w:sz w:val="24"/>
        </w:rPr>
        <w:t>本次评标采用二阶段评标方法</w:t>
      </w:r>
      <w:r>
        <w:rPr>
          <w:rFonts w:hint="eastAsia" w:ascii="宋体" w:hAnsi="宋体" w:cs="宋体"/>
          <w:b/>
          <w:sz w:val="24"/>
          <w:u w:val="single"/>
        </w:rPr>
        <w:t>综</w:t>
      </w:r>
      <w:r>
        <w:rPr>
          <w:rFonts w:hint="eastAsia" w:ascii="宋体" w:hAnsi="宋体" w:cs="宋体"/>
          <w:b/>
          <w:color w:val="FF0000"/>
          <w:sz w:val="24"/>
          <w:u w:val="single"/>
        </w:rPr>
        <w:t>合评分+二轮商务谈判：</w:t>
      </w:r>
    </w:p>
    <w:p>
      <w:pPr>
        <w:numPr>
          <w:ilvl w:val="0"/>
          <w:numId w:val="6"/>
        </w:numPr>
        <w:adjustRightInd w:val="0"/>
        <w:snapToGrid w:val="0"/>
        <w:spacing w:line="360" w:lineRule="auto"/>
        <w:ind w:left="423" w:leftChars="200" w:hanging="3"/>
        <w:rPr>
          <w:rFonts w:ascii="宋体" w:hAnsi="宋体" w:cs="宋体"/>
          <w:color w:val="FF0000"/>
        </w:rPr>
      </w:pPr>
      <w:r>
        <w:rPr>
          <w:rFonts w:hint="eastAsia" w:ascii="宋体" w:hAnsi="宋体" w:cs="宋体"/>
          <w:b/>
          <w:color w:val="FF0000"/>
          <w:sz w:val="24"/>
          <w:u w:val="single"/>
        </w:rPr>
        <w:t>综合评分：分值构成(总分 100 分) ，技术标：60 分，商务标：40分</w:t>
      </w:r>
    </w:p>
    <w:p>
      <w:pPr>
        <w:adjustRightInd w:val="0"/>
        <w:snapToGrid w:val="0"/>
        <w:spacing w:line="360" w:lineRule="auto"/>
        <w:ind w:left="420" w:leftChars="200"/>
        <w:rPr>
          <w:rFonts w:ascii="宋体" w:hAnsi="宋体" w:cs="宋体"/>
          <w:b/>
          <w:color w:val="FF0000"/>
          <w:sz w:val="24"/>
          <w:u w:val="single"/>
        </w:rPr>
      </w:pPr>
      <w:r>
        <w:rPr>
          <w:rFonts w:hint="eastAsia" w:ascii="宋体" w:hAnsi="宋体" w:cs="宋体"/>
          <w:b/>
          <w:color w:val="FF0000"/>
          <w:sz w:val="24"/>
          <w:u w:val="single"/>
        </w:rPr>
        <w:t>首先，由评标委员会根据招标文件要求(符合性评审)，审核各投标文件是否合格、有效，凡不符合要求的投标均不进入详细评审程序。</w:t>
      </w:r>
    </w:p>
    <w:p>
      <w:pPr>
        <w:adjustRightInd w:val="0"/>
        <w:snapToGrid w:val="0"/>
        <w:spacing w:line="360" w:lineRule="auto"/>
        <w:ind w:left="420" w:leftChars="200"/>
        <w:rPr>
          <w:rFonts w:ascii="宋体" w:hAnsi="宋体" w:cs="宋体"/>
          <w:color w:val="FF0000"/>
        </w:rPr>
      </w:pPr>
      <w:r>
        <w:rPr>
          <w:rFonts w:hint="eastAsia" w:ascii="宋体" w:hAnsi="宋体" w:cs="宋体"/>
          <w:b/>
          <w:color w:val="FF0000"/>
          <w:sz w:val="24"/>
          <w:u w:val="single"/>
        </w:rPr>
        <w:t>评标委员会按照评审办法规定，分别按上述评审标准对投标人进行详细评审，最终得分由高到低排列取前3名进入二轮商务谈判；若出现最终得分相同者，现场抽签决定入选名额。（评标委员会只推荐入围单位不定标）。</w:t>
      </w:r>
    </w:p>
    <w:p>
      <w:pPr>
        <w:numPr>
          <w:ilvl w:val="0"/>
          <w:numId w:val="6"/>
        </w:numPr>
        <w:adjustRightInd w:val="0"/>
        <w:snapToGrid w:val="0"/>
        <w:ind w:firstLine="482" w:firstLineChars="200"/>
        <w:rPr>
          <w:rFonts w:ascii="宋体" w:hAnsi="宋体" w:cs="宋体"/>
          <w:b/>
          <w:bCs/>
          <w:color w:val="FF0000"/>
          <w:sz w:val="24"/>
          <w:szCs w:val="32"/>
        </w:rPr>
      </w:pPr>
      <w:bookmarkStart w:id="32" w:name="_Toc4450"/>
      <w:bookmarkStart w:id="33" w:name="_Toc9121"/>
      <w:bookmarkStart w:id="34" w:name="_Toc27960"/>
      <w:bookmarkStart w:id="35" w:name="_Toc1225"/>
      <w:r>
        <w:rPr>
          <w:rFonts w:hint="eastAsia" w:ascii="宋体" w:hAnsi="宋体" w:cs="宋体"/>
          <w:b/>
          <w:bCs/>
          <w:color w:val="FF0000"/>
          <w:sz w:val="24"/>
          <w:szCs w:val="32"/>
        </w:rPr>
        <w:t>二轮商务谈判：</w:t>
      </w:r>
    </w:p>
    <w:p>
      <w:pPr>
        <w:pStyle w:val="2"/>
        <w:numPr>
          <w:ilvl w:val="0"/>
          <w:numId w:val="0"/>
        </w:numPr>
        <w:adjustRightInd w:val="0"/>
        <w:snapToGrid w:val="0"/>
        <w:ind w:left="420" w:leftChars="200"/>
        <w:jc w:val="both"/>
        <w:rPr>
          <w:rFonts w:ascii="宋体" w:hAnsi="宋体" w:eastAsia="宋体" w:cs="宋体"/>
          <w:b/>
          <w:bCs/>
          <w:color w:val="FF0000"/>
        </w:rPr>
      </w:pPr>
      <w:bookmarkStart w:id="36" w:name="_Toc26167"/>
      <w:bookmarkStart w:id="37" w:name="_Toc24674"/>
      <w:r>
        <w:rPr>
          <w:rFonts w:hint="eastAsia" w:ascii="宋体" w:hAnsi="宋体" w:eastAsia="宋体" w:cs="宋体"/>
          <w:b/>
          <w:bCs/>
          <w:color w:val="FF0000"/>
          <w:kern w:val="10"/>
          <w:sz w:val="28"/>
          <w:szCs w:val="28"/>
        </w:rPr>
        <w:t>因本次医院项目建设特殊性和安全性，建设单位将对入围的3名投标人进行考察和二轮商务谈判，并决定最终中标人。</w:t>
      </w:r>
      <w:bookmarkEnd w:id="32"/>
      <w:bookmarkEnd w:id="33"/>
      <w:bookmarkEnd w:id="34"/>
      <w:bookmarkEnd w:id="35"/>
      <w:bookmarkEnd w:id="36"/>
      <w:bookmarkEnd w:id="37"/>
    </w:p>
    <w:p>
      <w:pPr>
        <w:adjustRightInd w:val="0"/>
        <w:snapToGrid w:val="0"/>
        <w:spacing w:line="360" w:lineRule="auto"/>
        <w:ind w:left="423" w:leftChars="200" w:hanging="3"/>
        <w:rPr>
          <w:rFonts w:ascii="宋体" w:hAnsi="宋体" w:cs="宋体"/>
          <w:b/>
          <w:bCs/>
          <w:color w:val="FF0000"/>
          <w:sz w:val="24"/>
          <w:u w:val="single"/>
        </w:rPr>
      </w:pPr>
      <w:r>
        <w:rPr>
          <w:rFonts w:hint="eastAsia" w:ascii="宋体" w:hAnsi="宋体" w:cs="宋体"/>
          <w:b/>
          <w:bCs/>
          <w:color w:val="FF0000"/>
          <w:sz w:val="24"/>
        </w:rPr>
        <w:t>1.2最高限价：</w:t>
      </w:r>
      <w:r>
        <w:rPr>
          <w:rFonts w:hint="eastAsia" w:ascii="宋体" w:hAnsi="宋体" w:cs="宋体"/>
          <w:b/>
          <w:bCs/>
          <w:color w:val="FF0000"/>
          <w:sz w:val="24"/>
          <w:u w:val="single"/>
        </w:rPr>
        <w:t>投标报价不得等于或者高于本项目的最高限价，否则作为废标处理。本项目最高限价：7</w:t>
      </w:r>
      <w:r>
        <w:rPr>
          <w:rFonts w:hint="eastAsia" w:ascii="宋体" w:hAnsi="宋体" w:cs="宋体"/>
          <w:b/>
          <w:bCs/>
          <w:color w:val="FF0000"/>
          <w:sz w:val="24"/>
          <w:u w:val="single"/>
          <w:lang w:val="en-US" w:eastAsia="zh-CN"/>
        </w:rPr>
        <w:t>8</w:t>
      </w:r>
      <w:r>
        <w:rPr>
          <w:rFonts w:hint="eastAsia" w:ascii="宋体" w:hAnsi="宋体" w:cs="宋体"/>
          <w:b/>
          <w:bCs/>
          <w:color w:val="FF0000"/>
          <w:sz w:val="24"/>
          <w:u w:val="single"/>
        </w:rPr>
        <w:t>00000.00元，大写：</w:t>
      </w:r>
      <w:r>
        <w:rPr>
          <w:rFonts w:hint="eastAsia" w:ascii="宋体" w:hAnsi="宋体" w:cs="宋体"/>
          <w:b/>
          <w:bCs/>
          <w:color w:val="FF0000"/>
          <w:sz w:val="24"/>
          <w:u w:val="single"/>
          <w:lang w:eastAsia="zh-CN"/>
        </w:rPr>
        <w:t>柒佰捌拾</w:t>
      </w:r>
      <w:r>
        <w:rPr>
          <w:rFonts w:hint="eastAsia" w:ascii="宋体" w:hAnsi="宋体" w:cs="宋体"/>
          <w:b/>
          <w:bCs/>
          <w:color w:val="FF0000"/>
          <w:sz w:val="24"/>
          <w:u w:val="single"/>
        </w:rPr>
        <w:t>万元整。</w:t>
      </w:r>
    </w:p>
    <w:p>
      <w:pPr>
        <w:adjustRightInd w:val="0"/>
        <w:snapToGrid w:val="0"/>
        <w:spacing w:line="360" w:lineRule="auto"/>
        <w:ind w:left="423" w:leftChars="200" w:hanging="3"/>
        <w:rPr>
          <w:rFonts w:ascii="宋体" w:hAnsi="宋体" w:cs="宋体"/>
          <w:b/>
          <w:sz w:val="24"/>
        </w:rPr>
      </w:pPr>
      <w:r>
        <w:rPr>
          <w:rFonts w:hint="eastAsia" w:ascii="宋体" w:hAnsi="宋体" w:cs="宋体"/>
          <w:b/>
          <w:sz w:val="24"/>
        </w:rPr>
        <w:t>2．评标原则</w:t>
      </w:r>
    </w:p>
    <w:p>
      <w:pPr>
        <w:adjustRightInd w:val="0"/>
        <w:snapToGrid w:val="0"/>
        <w:spacing w:line="360" w:lineRule="auto"/>
        <w:ind w:left="423" w:leftChars="200" w:hanging="3"/>
        <w:rPr>
          <w:rFonts w:ascii="宋体" w:hAnsi="宋体" w:cs="宋体"/>
          <w:b/>
          <w:sz w:val="24"/>
        </w:rPr>
      </w:pPr>
      <w:r>
        <w:rPr>
          <w:rFonts w:hint="eastAsia" w:ascii="宋体" w:hAnsi="宋体" w:cs="宋体"/>
          <w:sz w:val="24"/>
        </w:rPr>
        <w:t>遵循公平、公正、科学、择优的原则，能够满足招标文件实质性要求，服务期合理、质量保证措施可靠、方案可行，价格合理。</w:t>
      </w:r>
    </w:p>
    <w:p>
      <w:pPr>
        <w:adjustRightInd w:val="0"/>
        <w:snapToGrid w:val="0"/>
        <w:spacing w:line="360" w:lineRule="auto"/>
        <w:ind w:left="423" w:leftChars="200" w:hanging="3"/>
        <w:rPr>
          <w:rFonts w:ascii="宋体" w:hAnsi="宋体" w:cs="宋体"/>
          <w:b/>
          <w:sz w:val="24"/>
        </w:rPr>
      </w:pPr>
      <w:r>
        <w:rPr>
          <w:rFonts w:hint="eastAsia" w:ascii="宋体" w:hAnsi="宋体" w:cs="宋体"/>
          <w:b/>
          <w:sz w:val="24"/>
        </w:rPr>
        <w:t>3．评标委员会组成及职责</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3．1评标委员会</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评标委员会由招标人依法组建，评标委员会由招标人代表以及技术、经济等方面的专家组成。评标委员会推举产生评标委员会主任。</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3．2评标委员会的职责</w:t>
      </w:r>
    </w:p>
    <w:p>
      <w:pPr>
        <w:adjustRightInd w:val="0"/>
        <w:snapToGrid w:val="0"/>
        <w:spacing w:line="360" w:lineRule="auto"/>
        <w:ind w:left="423" w:leftChars="200" w:hanging="3"/>
        <w:rPr>
          <w:rFonts w:ascii="宋体" w:hAnsi="宋体" w:cs="宋体"/>
          <w:b/>
          <w:sz w:val="24"/>
        </w:rPr>
      </w:pPr>
      <w:r>
        <w:rPr>
          <w:rFonts w:hint="eastAsia" w:ascii="宋体" w:hAnsi="宋体" w:cs="宋体"/>
          <w:sz w:val="24"/>
        </w:rPr>
        <w:t xml:space="preserve">评标委员会应当根据本评标办法，对投标文件进行系统地评审和比较，向招标人推荐中标候选人或根据招标人的授权直接确定中标人。各评标委员会成员独立评审，提出评审意见，不受任何单位或者个人的干预。各评标委员会成员对其各自评审结果负责，并在评标报告上签字确认。对评标结论持有异议的评标委员会成员可以书面方式阐述其不同意见和理由。评标委员会成员拒绝在评标报告上签字且不陈述其不同意见和理由的，视为同意评标结论。评标委员会应当对此作出书面说明并记录在案。 </w:t>
      </w:r>
    </w:p>
    <w:p>
      <w:pPr>
        <w:adjustRightInd w:val="0"/>
        <w:snapToGrid w:val="0"/>
        <w:spacing w:line="360" w:lineRule="auto"/>
        <w:ind w:left="423" w:leftChars="200" w:hanging="3"/>
        <w:rPr>
          <w:rFonts w:ascii="宋体" w:hAnsi="宋体" w:cs="宋体"/>
          <w:b/>
          <w:sz w:val="24"/>
        </w:rPr>
      </w:pPr>
      <w:r>
        <w:rPr>
          <w:rFonts w:hint="eastAsia" w:ascii="宋体" w:hAnsi="宋体" w:cs="宋体"/>
          <w:b/>
          <w:sz w:val="24"/>
        </w:rPr>
        <w:t>4．评标程序</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4.1评标委员会首先对投标人的资质条件和投标文件的有效性进行符合性评审，符合招标文件要求的给予符合性通过，不符合招标文件要求的投标文件以及投标报价高于招标人事先公布的最高限价的投标文件均定为废标，其商务标不再评审。</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4.2 纸质标书的正本与副本内容一致，若不一致，以正本为准。</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4.3对通过符合性评审的投标文件商务部分进行评审，首先评审商务标有无计算或表达上的错误，修正错误的原则如下：</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4.3.1如果数字表示的金额和用文字表示的金额不一致时，应以文字表示的金额为准；</w:t>
      </w:r>
    </w:p>
    <w:p>
      <w:pPr>
        <w:adjustRightInd w:val="0"/>
        <w:snapToGrid w:val="0"/>
        <w:spacing w:line="360" w:lineRule="auto"/>
        <w:ind w:left="423" w:leftChars="200" w:hanging="3"/>
        <w:rPr>
          <w:rFonts w:ascii="宋体" w:hAnsi="宋体" w:cs="宋体"/>
        </w:rPr>
      </w:pPr>
      <w:r>
        <w:rPr>
          <w:rFonts w:hint="eastAsia" w:ascii="宋体" w:hAnsi="宋体" w:cs="宋体"/>
          <w:sz w:val="24"/>
        </w:rPr>
        <w:t>4.3.2当单价与数量的乘积与合价不一致时，以单价为准。若评标委员会认为单价有明显的小数点错误，应以标出的合价为准，并修改单价。</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4.4按上述修正错误的原则及方法调整或修正投标文件的投标报价，经投标人同意并签字确认后，调整后的投标报价对投标人起约束作用。如果投标人不接受修正后的报价，则其投标将被拒绝，并不影响评标工作的继续进行。</w:t>
      </w:r>
    </w:p>
    <w:p>
      <w:pPr>
        <w:adjustRightInd w:val="0"/>
        <w:snapToGrid w:val="0"/>
        <w:spacing w:line="360" w:lineRule="auto"/>
        <w:ind w:left="423" w:leftChars="200" w:hanging="3"/>
        <w:rPr>
          <w:rFonts w:ascii="宋体" w:hAnsi="宋体" w:cs="宋体"/>
          <w:b/>
          <w:sz w:val="24"/>
        </w:rPr>
      </w:pPr>
      <w:r>
        <w:rPr>
          <w:rFonts w:hint="eastAsia" w:ascii="宋体" w:hAnsi="宋体" w:cs="宋体"/>
          <w:b/>
          <w:sz w:val="24"/>
        </w:rPr>
        <w:t>5．废标条款</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5．1投标人有以下情形之一的，初步评审后其投标作废标处理</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（1）串通投标或弄虚作假或有其他违法行为的；</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（2）不按评标委员会要求澄清、说明或补正的；</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（3）投标函中投标报价、服务期、相关标准、方案或其他实质性要求不能满足招标文件要求，或作出的承诺与招标文件中提供的投标函样本中相关内容相抵触或有遗漏的；</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（4）未按规定的格式填写，实质性内容不全或关键字迹模糊、无法辨认的；</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（5）投标人提交两份或多份内容不同的投标文件，或在一份投标文件中对同一招标项目报有两个或多个报价，且未声明哪一个有效的。按招标文件规定提交备选投标方案的除外；</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（6）投标文件活页装订或未按招标文件要求封装或混装或插页或黏贴的；</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（7）投标文件中存在招标人不能接受的其他实质性条件。</w:t>
      </w:r>
    </w:p>
    <w:p>
      <w:pPr>
        <w:adjustRightInd w:val="0"/>
        <w:snapToGrid w:val="0"/>
        <w:spacing w:line="360" w:lineRule="auto"/>
        <w:ind w:left="423" w:leftChars="200" w:hanging="3"/>
        <w:rPr>
          <w:rFonts w:ascii="宋体" w:hAnsi="宋体" w:cs="宋体"/>
          <w:b/>
          <w:sz w:val="24"/>
        </w:rPr>
      </w:pPr>
      <w:r>
        <w:rPr>
          <w:rFonts w:hint="eastAsia" w:ascii="宋体" w:hAnsi="宋体" w:cs="宋体"/>
          <w:b/>
          <w:sz w:val="24"/>
        </w:rPr>
        <w:t>6．投标文件的澄清和补正</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6．1在评标过程中，评标委员会可以书面形式要求投标人对所提交的投标文件中不明确的内容进行书面澄清或说明，或者对细微偏差进行补正。评标委员会不接受投标人主动提出的澄清、说明或补正。</w:t>
      </w:r>
    </w:p>
    <w:p>
      <w:pPr>
        <w:adjustRightInd w:val="0"/>
        <w:snapToGrid w:val="0"/>
        <w:spacing w:line="360" w:lineRule="auto"/>
        <w:ind w:left="423" w:leftChars="200" w:hanging="3"/>
        <w:rPr>
          <w:rFonts w:ascii="宋体" w:hAnsi="宋体" w:cs="宋体"/>
          <w:sz w:val="24"/>
        </w:rPr>
      </w:pPr>
      <w:r>
        <w:rPr>
          <w:rFonts w:hint="eastAsia" w:ascii="宋体" w:hAnsi="宋体" w:cs="宋体"/>
          <w:sz w:val="24"/>
        </w:rPr>
        <w:t xml:space="preserve">    6．2澄清、说明和补正不得超出投标文件的范围或改变投标文件的实质性内容（算术性错误修正的除外）。投标人的书面澄清、说明和补正属于投标文件的组成部分。</w:t>
      </w:r>
    </w:p>
    <w:p>
      <w:pPr>
        <w:adjustRightInd w:val="0"/>
        <w:snapToGrid w:val="0"/>
        <w:spacing w:line="360" w:lineRule="auto"/>
        <w:ind w:left="423" w:leftChars="200" w:hanging="3"/>
      </w:pPr>
      <w:r>
        <w:rPr>
          <w:rFonts w:hint="eastAsia" w:ascii="宋体" w:hAnsi="宋体" w:cs="宋体"/>
          <w:sz w:val="24"/>
        </w:rPr>
        <w:t xml:space="preserve">    6．3评标委员会对投标人提交的澄清、说明或补正有疑问的，可以要求投标人进一步澄清、说明或补正，直至满足评标委员会的要求。</w:t>
      </w:r>
    </w:p>
    <w:p>
      <w:pPr>
        <w:adjustRightInd w:val="0"/>
        <w:snapToGrid w:val="0"/>
        <w:ind w:left="423" w:leftChars="200" w:hanging="3"/>
        <w:rPr>
          <w:rFonts w:ascii="宋体" w:hAnsi="宋体" w:cs="宋体"/>
          <w:b/>
          <w:bCs/>
          <w:sz w:val="36"/>
          <w:szCs w:val="36"/>
        </w:rPr>
      </w:pPr>
    </w:p>
    <w:p>
      <w:pPr>
        <w:pStyle w:val="2"/>
      </w:pPr>
    </w:p>
    <w:p/>
    <w:p>
      <w:pPr>
        <w:pStyle w:val="2"/>
        <w:numPr>
          <w:ilvl w:val="0"/>
          <w:numId w:val="0"/>
        </w:numPr>
        <w:adjustRightInd w:val="0"/>
        <w:snapToGrid w:val="0"/>
        <w:spacing w:line="360" w:lineRule="auto"/>
        <w:rPr>
          <w:rFonts w:ascii="宋体" w:hAnsi="宋体" w:eastAsia="宋体" w:cs="宋体"/>
          <w:sz w:val="40"/>
          <w:szCs w:val="40"/>
        </w:rPr>
      </w:pPr>
      <w:bookmarkStart w:id="38" w:name="_Toc438193089"/>
      <w:bookmarkStart w:id="39" w:name="_Toc492095963"/>
      <w:bookmarkStart w:id="40" w:name="_Toc492115210"/>
      <w:bookmarkStart w:id="41" w:name="_Toc518268549"/>
      <w:bookmarkStart w:id="42" w:name="_Toc492115137"/>
      <w:bookmarkStart w:id="43" w:name="_Toc492115272"/>
      <w:bookmarkStart w:id="44" w:name="_Toc23677536"/>
      <w:bookmarkStart w:id="45" w:name="_Toc492114945"/>
      <w:bookmarkStart w:id="46" w:name="_Toc492115053"/>
      <w:bookmarkStart w:id="47" w:name="_Toc534100083"/>
      <w:r>
        <w:rPr>
          <w:rFonts w:hint="eastAsia" w:ascii="宋体" w:hAnsi="宋体" w:eastAsia="宋体" w:cs="宋体"/>
          <w:sz w:val="40"/>
          <w:szCs w:val="40"/>
        </w:rPr>
        <w:t>第四章  合同文本及主要条款</w:t>
      </w:r>
    </w:p>
    <w:p>
      <w:pPr>
        <w:pStyle w:val="3"/>
        <w:jc w:val="center"/>
        <w:rPr>
          <w:rFonts w:ascii="宋体" w:hAnsi="宋体" w:eastAsia="宋体" w:cs="宋体"/>
          <w:b w:val="0"/>
          <w:bCs w:val="0"/>
          <w:sz w:val="24"/>
          <w:szCs w:val="22"/>
        </w:rPr>
      </w:pPr>
      <w:bookmarkStart w:id="48" w:name="OLE_LINK6"/>
      <w:r>
        <w:rPr>
          <w:rFonts w:hint="eastAsia" w:ascii="宋体" w:hAnsi="宋体" w:eastAsia="宋体" w:cs="宋体"/>
          <w:b w:val="0"/>
          <w:bCs w:val="0"/>
          <w:sz w:val="24"/>
          <w:szCs w:val="22"/>
        </w:rPr>
        <w:t>《建设工程施工合同（示范文本）》（GF-2017-0201）</w:t>
      </w:r>
    </w:p>
    <w:bookmarkEnd w:id="48"/>
    <w:p>
      <w:pPr>
        <w:pStyle w:val="4"/>
        <w:snapToGrid w:val="0"/>
        <w:spacing w:line="360" w:lineRule="auto"/>
        <w:jc w:val="center"/>
        <w:rPr>
          <w:rFonts w:ascii="宋体" w:hAnsi="宋体" w:eastAsia="宋体" w:cs="宋体"/>
          <w:b w:val="0"/>
          <w:sz w:val="24"/>
          <w:szCs w:val="24"/>
        </w:rPr>
      </w:pPr>
      <w:r>
        <w:rPr>
          <w:rFonts w:hint="eastAsia" w:ascii="宋体" w:hAnsi="宋体" w:eastAsia="宋体" w:cs="宋体"/>
          <w:sz w:val="24"/>
          <w:szCs w:val="24"/>
        </w:rPr>
        <w:t>第一部分 合同协议书</w:t>
      </w:r>
    </w:p>
    <w:p>
      <w:pPr>
        <w:snapToGrid w:val="0"/>
        <w:spacing w:line="360" w:lineRule="auto"/>
        <w:rPr>
          <w:rFonts w:ascii="宋体" w:hAnsi="宋体" w:cs="宋体"/>
          <w:b/>
          <w:u w:val="single"/>
        </w:rPr>
      </w:pPr>
      <w:r>
        <w:rPr>
          <w:rFonts w:hint="eastAsia" w:ascii="宋体" w:hAnsi="宋体" w:cs="宋体"/>
          <w:b/>
        </w:rPr>
        <w:t>发包人（全称）：</w:t>
      </w:r>
      <w:r>
        <w:rPr>
          <w:rFonts w:hint="eastAsia" w:ascii="宋体" w:hAnsi="宋体" w:cs="宋体"/>
          <w:b/>
          <w:u w:val="single"/>
        </w:rPr>
        <w:t xml:space="preserve"> 六安世立医院有限公司   </w:t>
      </w:r>
    </w:p>
    <w:p>
      <w:pPr>
        <w:snapToGrid w:val="0"/>
        <w:spacing w:line="360" w:lineRule="auto"/>
        <w:rPr>
          <w:rFonts w:ascii="宋体" w:hAnsi="宋体" w:cs="宋体"/>
          <w:b/>
          <w:u w:val="single"/>
        </w:rPr>
      </w:pPr>
      <w:r>
        <w:rPr>
          <w:rFonts w:hint="eastAsia" w:ascii="宋体" w:hAnsi="宋体" w:cs="宋体"/>
          <w:b/>
        </w:rPr>
        <w:t>承包人（全称）：</w:t>
      </w:r>
      <w:r>
        <w:rPr>
          <w:rFonts w:hint="eastAsia" w:ascii="宋体" w:hAnsi="宋体" w:cs="宋体"/>
          <w:b/>
          <w:u w:val="single"/>
        </w:rPr>
        <w:t>                  </w:t>
      </w:r>
    </w:p>
    <w:p>
      <w:pPr>
        <w:snapToGrid w:val="0"/>
        <w:spacing w:line="360" w:lineRule="auto"/>
        <w:ind w:firstLine="420" w:firstLineChars="200"/>
        <w:rPr>
          <w:rFonts w:ascii="宋体" w:hAnsi="宋体" w:cs="宋体"/>
        </w:rPr>
      </w:pPr>
      <w:r>
        <w:rPr>
          <w:rFonts w:hint="eastAsia" w:ascii="宋体" w:hAnsi="宋体" w:cs="宋体"/>
        </w:rPr>
        <w:t>根据《中华人民共和国合同法》、《中华人民共和国建筑法》及有关法律规定，遵循平等、自愿、公平和诚实信用的原则，双方就</w:t>
      </w:r>
      <w:r>
        <w:rPr>
          <w:rFonts w:hint="eastAsia" w:ascii="宋体" w:hAnsi="宋体" w:cs="宋体"/>
          <w:u w:val="single"/>
        </w:rPr>
        <w:t xml:space="preserve">  六安世立医院消防改造  </w:t>
      </w:r>
      <w:r>
        <w:rPr>
          <w:rFonts w:hint="eastAsia" w:ascii="宋体" w:hAnsi="宋体" w:cs="宋体"/>
        </w:rPr>
        <w:t>工程施工及有关事项协商一致，共同达成如下协议：</w:t>
      </w:r>
    </w:p>
    <w:p>
      <w:pPr>
        <w:pStyle w:val="5"/>
        <w:snapToGrid w:val="0"/>
        <w:spacing w:before="120" w:after="120" w:line="360" w:lineRule="auto"/>
        <w:rPr>
          <w:rFonts w:ascii="宋体" w:hAnsi="宋体" w:cs="宋体"/>
          <w:bCs w:val="0"/>
          <w:sz w:val="24"/>
          <w:szCs w:val="24"/>
        </w:rPr>
      </w:pPr>
      <w:r>
        <w:rPr>
          <w:rFonts w:hint="eastAsia" w:ascii="宋体" w:hAnsi="宋体" w:cs="宋体"/>
          <w:bCs w:val="0"/>
          <w:sz w:val="24"/>
          <w:szCs w:val="24"/>
        </w:rPr>
        <w:t xml:space="preserve">   </w:t>
      </w:r>
      <w:r>
        <w:rPr>
          <w:rFonts w:hint="eastAsia" w:ascii="宋体" w:hAnsi="宋体" w:cs="宋体"/>
          <w:b w:val="0"/>
          <w:sz w:val="24"/>
          <w:szCs w:val="24"/>
        </w:rPr>
        <w:t xml:space="preserve"> </w:t>
      </w:r>
      <w:bookmarkStart w:id="49" w:name="_Toc351203481"/>
      <w:r>
        <w:rPr>
          <w:rFonts w:hint="eastAsia" w:ascii="宋体" w:hAnsi="宋体" w:cs="宋体"/>
          <w:b w:val="0"/>
          <w:sz w:val="24"/>
          <w:szCs w:val="24"/>
        </w:rPr>
        <w:t>一、工程概况</w:t>
      </w:r>
      <w:bookmarkEnd w:id="49"/>
    </w:p>
    <w:p>
      <w:pPr>
        <w:snapToGrid w:val="0"/>
        <w:spacing w:line="360" w:lineRule="auto"/>
        <w:ind w:firstLine="411" w:firstLineChars="196"/>
        <w:rPr>
          <w:rFonts w:ascii="宋体" w:hAnsi="宋体" w:cs="宋体"/>
          <w:u w:val="single"/>
        </w:rPr>
      </w:pPr>
      <w:r>
        <w:rPr>
          <w:rFonts w:hint="eastAsia" w:ascii="宋体" w:hAnsi="宋体" w:cs="宋体"/>
          <w:bCs/>
        </w:rPr>
        <w:t>1.工程名称</w:t>
      </w:r>
      <w:r>
        <w:rPr>
          <w:rFonts w:hint="eastAsia" w:ascii="宋体" w:hAnsi="宋体" w:cs="宋体"/>
        </w:rPr>
        <w:t>：</w:t>
      </w:r>
      <w:r>
        <w:rPr>
          <w:rFonts w:hint="eastAsia" w:ascii="宋体" w:hAnsi="宋体" w:cs="宋体"/>
          <w:u w:val="single"/>
        </w:rPr>
        <w:t xml:space="preserve">六安世立医院消防改造工程 </w:t>
      </w:r>
      <w:r>
        <w:rPr>
          <w:rFonts w:hint="eastAsia" w:ascii="宋体" w:hAnsi="宋体" w:cs="宋体"/>
        </w:rPr>
        <w:t>。</w:t>
      </w:r>
    </w:p>
    <w:p>
      <w:pPr>
        <w:snapToGrid w:val="0"/>
        <w:spacing w:line="360" w:lineRule="auto"/>
        <w:ind w:firstLine="411" w:firstLineChars="196"/>
        <w:rPr>
          <w:rFonts w:ascii="宋体" w:hAnsi="宋体" w:cs="宋体"/>
          <w:bCs/>
        </w:rPr>
      </w:pPr>
      <w:r>
        <w:rPr>
          <w:rFonts w:hint="eastAsia" w:ascii="宋体" w:hAnsi="宋体" w:cs="宋体"/>
          <w:bCs/>
        </w:rPr>
        <w:t>2.工程地点：</w:t>
      </w:r>
      <w:r>
        <w:rPr>
          <w:rFonts w:hint="eastAsia" w:ascii="宋体" w:hAnsi="宋体" w:cs="宋体"/>
          <w:u w:val="single"/>
        </w:rPr>
        <w:t xml:space="preserve">六安市裕安区磨子潭路世立医院院内   </w:t>
      </w:r>
      <w:r>
        <w:rPr>
          <w:rFonts w:hint="eastAsia" w:ascii="宋体" w:hAnsi="宋体" w:cs="宋体"/>
        </w:rPr>
        <w:t>。</w:t>
      </w:r>
    </w:p>
    <w:p>
      <w:pPr>
        <w:snapToGrid w:val="0"/>
        <w:spacing w:line="360" w:lineRule="auto"/>
        <w:ind w:firstLine="411" w:firstLineChars="196"/>
        <w:rPr>
          <w:rFonts w:ascii="宋体" w:hAnsi="宋体" w:cs="宋体"/>
          <w:bCs/>
        </w:rPr>
      </w:pPr>
      <w:r>
        <w:rPr>
          <w:rFonts w:hint="eastAsia" w:ascii="宋体" w:hAnsi="宋体" w:cs="宋体"/>
          <w:bCs/>
        </w:rPr>
        <w:t>3.工程立项批准文号：</w:t>
      </w:r>
      <w:r>
        <w:rPr>
          <w:rFonts w:hint="eastAsia" w:ascii="宋体" w:hAnsi="宋体" w:cs="宋体"/>
          <w:u w:val="single"/>
        </w:rPr>
        <w:t xml:space="preserve">  /      </w:t>
      </w:r>
      <w:r>
        <w:rPr>
          <w:rFonts w:hint="eastAsia" w:ascii="宋体" w:hAnsi="宋体" w:cs="宋体"/>
          <w:bCs/>
        </w:rPr>
        <w:t>。</w:t>
      </w:r>
    </w:p>
    <w:p>
      <w:pPr>
        <w:snapToGrid w:val="0"/>
        <w:spacing w:line="360" w:lineRule="auto"/>
        <w:ind w:firstLine="411" w:firstLineChars="196"/>
        <w:rPr>
          <w:rFonts w:ascii="宋体" w:hAnsi="宋体" w:cs="宋体"/>
          <w:bCs/>
        </w:rPr>
      </w:pPr>
      <w:r>
        <w:rPr>
          <w:rFonts w:hint="eastAsia" w:ascii="宋体" w:hAnsi="宋体" w:cs="宋体"/>
          <w:bCs/>
        </w:rPr>
        <w:t>4.资金来源：</w:t>
      </w:r>
      <w:r>
        <w:rPr>
          <w:rFonts w:hint="eastAsia" w:ascii="宋体" w:hAnsi="宋体" w:cs="宋体"/>
          <w:u w:val="single"/>
        </w:rPr>
        <w:t xml:space="preserve">   自筹  </w:t>
      </w:r>
      <w:r>
        <w:rPr>
          <w:rFonts w:hint="eastAsia" w:ascii="宋体" w:hAnsi="宋体" w:cs="宋体"/>
          <w:bCs/>
        </w:rPr>
        <w:t>。</w:t>
      </w:r>
    </w:p>
    <w:p>
      <w:pPr>
        <w:snapToGrid w:val="0"/>
        <w:spacing w:line="360" w:lineRule="auto"/>
        <w:ind w:firstLine="411" w:firstLineChars="196"/>
        <w:rPr>
          <w:rFonts w:ascii="宋体" w:hAnsi="宋体" w:cs="宋体"/>
          <w:bCs/>
        </w:rPr>
      </w:pPr>
      <w:r>
        <w:rPr>
          <w:rFonts w:hint="eastAsia" w:ascii="宋体" w:hAnsi="宋体" w:cs="宋体"/>
          <w:bCs/>
        </w:rPr>
        <w:t>5.工程内容：</w:t>
      </w:r>
      <w:r>
        <w:rPr>
          <w:rFonts w:hint="eastAsia" w:ascii="宋体" w:hAnsi="宋体" w:cs="宋体"/>
          <w:u w:val="single"/>
        </w:rPr>
        <w:t xml:space="preserve">  室外消防、住院部、门诊部、医技楼消防改造工程，包括通风管道安装、排烟风机、送风机、应急照明灯具、喷淋系统、消火栓系统、喷淋泵、消火栓泵安装、室外闸阀井砌筑、配电箱安装、管道土方开挖及回填及原天棚吊顶影响消防施工的对其进行拆除</w:t>
      </w:r>
      <w:r>
        <w:rPr>
          <w:rFonts w:hint="eastAsia" w:ascii="宋体" w:hAnsi="宋体" w:cs="宋体"/>
          <w:bCs/>
        </w:rPr>
        <w:t>。</w:t>
      </w:r>
    </w:p>
    <w:p>
      <w:pPr>
        <w:snapToGrid w:val="0"/>
        <w:spacing w:line="360" w:lineRule="auto"/>
        <w:ind w:firstLine="411" w:firstLineChars="196"/>
        <w:rPr>
          <w:rFonts w:ascii="宋体" w:hAnsi="宋体" w:cs="宋体"/>
          <w:bCs/>
        </w:rPr>
      </w:pPr>
      <w:r>
        <w:rPr>
          <w:rFonts w:hint="eastAsia" w:ascii="宋体" w:hAnsi="宋体" w:cs="宋体"/>
        </w:rPr>
        <w:t>群体工程应附《承包人承揽工程项目一览表》（附件1）。</w:t>
      </w:r>
    </w:p>
    <w:p>
      <w:pPr>
        <w:snapToGrid w:val="0"/>
        <w:spacing w:line="360" w:lineRule="auto"/>
        <w:ind w:firstLine="411" w:firstLineChars="196"/>
        <w:rPr>
          <w:rFonts w:ascii="宋体" w:hAnsi="宋体" w:cs="宋体"/>
        </w:rPr>
      </w:pPr>
      <w:r>
        <w:rPr>
          <w:rFonts w:hint="eastAsia" w:ascii="宋体" w:hAnsi="宋体" w:cs="宋体"/>
          <w:bCs/>
        </w:rPr>
        <w:t>6.工程承包范围：</w:t>
      </w:r>
      <w:r>
        <w:rPr>
          <w:rFonts w:hint="eastAsia" w:ascii="宋体" w:hAnsi="宋体" w:cs="宋体"/>
          <w:u w:val="single"/>
        </w:rPr>
        <w:t>详见工程量清单</w:t>
      </w:r>
      <w:r>
        <w:rPr>
          <w:rFonts w:hint="eastAsia" w:ascii="宋体" w:hAnsi="宋体" w:cs="宋体"/>
        </w:rPr>
        <w:t>。</w:t>
      </w:r>
    </w:p>
    <w:p>
      <w:pPr>
        <w:pStyle w:val="5"/>
        <w:snapToGrid w:val="0"/>
        <w:spacing w:before="120" w:after="120" w:line="360" w:lineRule="auto"/>
        <w:rPr>
          <w:rFonts w:ascii="宋体" w:hAnsi="宋体" w:cs="宋体"/>
          <w:b w:val="0"/>
          <w:sz w:val="24"/>
          <w:szCs w:val="24"/>
        </w:rPr>
      </w:pPr>
      <w:r>
        <w:rPr>
          <w:rFonts w:hint="eastAsia" w:ascii="宋体" w:hAnsi="宋体" w:cs="宋体"/>
          <w:b w:val="0"/>
          <w:sz w:val="24"/>
          <w:szCs w:val="24"/>
        </w:rPr>
        <w:t xml:space="preserve">   </w:t>
      </w:r>
      <w:bookmarkStart w:id="50" w:name="_Toc351203482"/>
      <w:r>
        <w:rPr>
          <w:rFonts w:hint="eastAsia" w:ascii="宋体" w:hAnsi="宋体" w:cs="宋体"/>
          <w:b w:val="0"/>
          <w:sz w:val="24"/>
          <w:szCs w:val="24"/>
        </w:rPr>
        <w:t>二、合同工期</w:t>
      </w:r>
      <w:bookmarkEnd w:id="50"/>
    </w:p>
    <w:p>
      <w:pPr>
        <w:snapToGrid w:val="0"/>
        <w:spacing w:line="360" w:lineRule="auto"/>
        <w:ind w:firstLine="459"/>
        <w:rPr>
          <w:rFonts w:ascii="宋体" w:hAnsi="宋体" w:cs="宋体"/>
        </w:rPr>
      </w:pPr>
      <w:r>
        <w:rPr>
          <w:rFonts w:hint="eastAsia" w:ascii="宋体" w:hAnsi="宋体" w:cs="宋体"/>
        </w:rPr>
        <w:t>计划开工日期：</w:t>
      </w:r>
      <w:r>
        <w:rPr>
          <w:rFonts w:hint="eastAsia" w:ascii="宋体" w:hAnsi="宋体" w:cs="宋体"/>
          <w:u w:val="single"/>
        </w:rPr>
        <w:t></w:t>
      </w:r>
      <w:r>
        <w:rPr>
          <w:rFonts w:hint="eastAsia" w:ascii="宋体" w:hAnsi="宋体" w:cs="宋体"/>
        </w:rPr>
        <w:t>年</w:t>
      </w:r>
      <w:r>
        <w:rPr>
          <w:rFonts w:hint="eastAsia" w:ascii="宋体" w:hAnsi="宋体" w:cs="宋体"/>
          <w:u w:val="single"/>
        </w:rPr>
        <w:t></w:t>
      </w:r>
      <w:r>
        <w:rPr>
          <w:rFonts w:hint="eastAsia" w:ascii="宋体" w:hAnsi="宋体" w:cs="宋体"/>
        </w:rPr>
        <w:t>月</w:t>
      </w:r>
      <w:r>
        <w:rPr>
          <w:rFonts w:hint="eastAsia" w:ascii="宋体" w:hAnsi="宋体" w:cs="宋体"/>
          <w:u w:val="single"/>
        </w:rPr>
        <w:t></w:t>
      </w:r>
      <w:r>
        <w:rPr>
          <w:rFonts w:hint="eastAsia" w:ascii="宋体" w:hAnsi="宋体" w:cs="宋体"/>
        </w:rPr>
        <w:t>日。</w:t>
      </w:r>
    </w:p>
    <w:p>
      <w:pPr>
        <w:snapToGrid w:val="0"/>
        <w:spacing w:line="360" w:lineRule="auto"/>
        <w:ind w:firstLine="459"/>
        <w:rPr>
          <w:rFonts w:ascii="宋体" w:hAnsi="宋体" w:cs="宋体"/>
        </w:rPr>
      </w:pPr>
      <w:r>
        <w:rPr>
          <w:rFonts w:hint="eastAsia" w:ascii="宋体" w:hAnsi="宋体" w:cs="宋体"/>
        </w:rPr>
        <w:t>计划竣工日期：</w:t>
      </w:r>
      <w:r>
        <w:rPr>
          <w:rFonts w:hint="eastAsia" w:ascii="宋体" w:hAnsi="宋体" w:cs="宋体"/>
          <w:u w:val="single"/>
        </w:rPr>
        <w:t></w:t>
      </w:r>
      <w:r>
        <w:rPr>
          <w:rFonts w:hint="eastAsia" w:ascii="宋体" w:hAnsi="宋体" w:cs="宋体"/>
        </w:rPr>
        <w:t>年</w:t>
      </w:r>
      <w:r>
        <w:rPr>
          <w:rFonts w:hint="eastAsia" w:ascii="宋体" w:hAnsi="宋体" w:cs="宋体"/>
          <w:u w:val="single"/>
        </w:rPr>
        <w:t></w:t>
      </w:r>
      <w:r>
        <w:rPr>
          <w:rFonts w:hint="eastAsia" w:ascii="宋体" w:hAnsi="宋体" w:cs="宋体"/>
        </w:rPr>
        <w:t>月</w:t>
      </w:r>
      <w:r>
        <w:rPr>
          <w:rFonts w:hint="eastAsia" w:ascii="宋体" w:hAnsi="宋体" w:cs="宋体"/>
          <w:u w:val="single"/>
        </w:rPr>
        <w:t></w:t>
      </w:r>
      <w:r>
        <w:rPr>
          <w:rFonts w:hint="eastAsia" w:ascii="宋体" w:hAnsi="宋体" w:cs="宋体"/>
        </w:rPr>
        <w:t>日。</w:t>
      </w:r>
    </w:p>
    <w:p>
      <w:pPr>
        <w:snapToGrid w:val="0"/>
        <w:spacing w:line="360" w:lineRule="auto"/>
        <w:ind w:firstLine="459"/>
        <w:rPr>
          <w:rFonts w:ascii="宋体" w:hAnsi="宋体" w:cs="宋体"/>
        </w:rPr>
      </w:pPr>
      <w:r>
        <w:rPr>
          <w:rFonts w:hint="eastAsia" w:ascii="宋体" w:hAnsi="宋体" w:cs="宋体"/>
        </w:rPr>
        <w:t>工期总日历天数：</w:t>
      </w:r>
      <w:r>
        <w:rPr>
          <w:rFonts w:hint="eastAsia" w:ascii="宋体" w:hAnsi="宋体" w:cs="宋体"/>
          <w:u w:val="single"/>
        </w:rPr>
        <w:t></w:t>
      </w:r>
      <w:r>
        <w:rPr>
          <w:rFonts w:hint="eastAsia" w:ascii="宋体" w:hAnsi="宋体" w:cs="宋体"/>
        </w:rPr>
        <w:t>天。工期总日历天数与根据前述计划开竣工日期计算的工期天数不一致的，以工期总日历天数为准。</w:t>
      </w:r>
    </w:p>
    <w:p>
      <w:pPr>
        <w:pStyle w:val="5"/>
        <w:snapToGrid w:val="0"/>
        <w:spacing w:before="120" w:after="120" w:line="360" w:lineRule="auto"/>
        <w:rPr>
          <w:rFonts w:ascii="宋体" w:hAnsi="宋体" w:cs="宋体"/>
          <w:bCs w:val="0"/>
          <w:sz w:val="24"/>
          <w:szCs w:val="24"/>
        </w:rPr>
      </w:pPr>
      <w:r>
        <w:rPr>
          <w:rFonts w:hint="eastAsia" w:ascii="宋体" w:hAnsi="宋体" w:cs="宋体"/>
          <w:bCs w:val="0"/>
          <w:sz w:val="24"/>
          <w:szCs w:val="24"/>
        </w:rPr>
        <w:t xml:space="preserve">    </w:t>
      </w:r>
      <w:bookmarkStart w:id="51" w:name="_Toc351203483"/>
      <w:r>
        <w:rPr>
          <w:rFonts w:hint="eastAsia" w:ascii="宋体" w:hAnsi="宋体" w:cs="宋体"/>
          <w:b w:val="0"/>
          <w:sz w:val="24"/>
          <w:szCs w:val="24"/>
        </w:rPr>
        <w:t>三、质量标准</w:t>
      </w:r>
      <w:bookmarkEnd w:id="51"/>
    </w:p>
    <w:p>
      <w:pPr>
        <w:snapToGrid w:val="0"/>
        <w:spacing w:line="360" w:lineRule="auto"/>
        <w:ind w:firstLine="459"/>
        <w:rPr>
          <w:rFonts w:ascii="宋体" w:hAnsi="宋体" w:cs="宋体"/>
        </w:rPr>
      </w:pPr>
      <w:r>
        <w:rPr>
          <w:rFonts w:hint="eastAsia" w:ascii="宋体" w:hAnsi="宋体" w:cs="宋体"/>
        </w:rPr>
        <w:t>工程质量符合</w:t>
      </w:r>
      <w:r>
        <w:rPr>
          <w:rFonts w:hint="eastAsia" w:ascii="宋体" w:hAnsi="宋体" w:cs="宋体"/>
          <w:u w:val="single"/>
        </w:rPr>
        <w:t>合格（政府主管部门验收合格并出具相关证书或文件）</w:t>
      </w:r>
      <w:r>
        <w:rPr>
          <w:rFonts w:hint="eastAsia" w:ascii="宋体" w:hAnsi="宋体" w:cs="宋体"/>
        </w:rPr>
        <w:t>标准。</w:t>
      </w:r>
    </w:p>
    <w:p>
      <w:pPr>
        <w:pStyle w:val="5"/>
        <w:snapToGrid w:val="0"/>
        <w:spacing w:before="120" w:after="120" w:line="360" w:lineRule="auto"/>
        <w:rPr>
          <w:rFonts w:ascii="宋体" w:hAnsi="宋体" w:cs="宋体"/>
          <w:bCs w:val="0"/>
          <w:sz w:val="24"/>
          <w:szCs w:val="24"/>
        </w:rPr>
      </w:pPr>
      <w:r>
        <w:rPr>
          <w:rFonts w:hint="eastAsia" w:ascii="宋体" w:hAnsi="宋体" w:cs="宋体"/>
          <w:bCs w:val="0"/>
          <w:sz w:val="24"/>
          <w:szCs w:val="24"/>
        </w:rPr>
        <w:t xml:space="preserve">   </w:t>
      </w:r>
      <w:r>
        <w:rPr>
          <w:rFonts w:hint="eastAsia" w:ascii="宋体" w:hAnsi="宋体" w:cs="宋体"/>
          <w:b w:val="0"/>
          <w:sz w:val="24"/>
          <w:szCs w:val="24"/>
        </w:rPr>
        <w:t xml:space="preserve"> </w:t>
      </w:r>
      <w:bookmarkStart w:id="52" w:name="_Toc351203484"/>
      <w:r>
        <w:rPr>
          <w:rFonts w:hint="eastAsia" w:ascii="宋体" w:hAnsi="宋体" w:cs="宋体"/>
          <w:b w:val="0"/>
          <w:sz w:val="24"/>
          <w:szCs w:val="24"/>
        </w:rPr>
        <w:t>四、签约合同价与合同价格形式</w:t>
      </w:r>
      <w:bookmarkEnd w:id="52"/>
      <w:r>
        <w:rPr>
          <w:rFonts w:hint="eastAsia" w:ascii="宋体" w:hAnsi="宋体" w:cs="宋体"/>
          <w:b w:val="0"/>
          <w:sz w:val="24"/>
          <w:szCs w:val="24"/>
        </w:rPr>
        <w:tab/>
      </w:r>
    </w:p>
    <w:p>
      <w:pPr>
        <w:snapToGrid w:val="0"/>
        <w:spacing w:line="360" w:lineRule="auto"/>
        <w:ind w:firstLine="420" w:firstLineChars="200"/>
        <w:rPr>
          <w:rFonts w:ascii="宋体" w:hAnsi="宋体" w:cs="宋体"/>
        </w:rPr>
      </w:pPr>
      <w:r>
        <w:rPr>
          <w:rFonts w:hint="eastAsia" w:ascii="宋体" w:hAnsi="宋体" w:cs="宋体"/>
        </w:rPr>
        <w:t>1.签约合同价为：</w:t>
      </w:r>
    </w:p>
    <w:p>
      <w:pPr>
        <w:snapToGrid w:val="0"/>
        <w:spacing w:line="360" w:lineRule="auto"/>
        <w:ind w:firstLine="525" w:firstLineChars="250"/>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w:t>
      </w:r>
      <w:r>
        <w:rPr>
          <w:rFonts w:hint="eastAsia" w:ascii="宋体" w:hAnsi="宋体" w:cs="宋体"/>
          <w:u w:val="single"/>
        </w:rPr>
        <w:t xml:space="preserve">            </w:t>
      </w:r>
      <w:r>
        <w:rPr>
          <w:rFonts w:hint="eastAsia" w:ascii="宋体" w:hAnsi="宋体" w:cs="宋体"/>
        </w:rPr>
        <w:t>元)；</w:t>
      </w:r>
    </w:p>
    <w:p>
      <w:pPr>
        <w:snapToGrid w:val="0"/>
        <w:spacing w:line="360" w:lineRule="auto"/>
        <w:ind w:firstLine="420" w:firstLineChars="200"/>
        <w:rPr>
          <w:rFonts w:ascii="宋体" w:hAnsi="宋体" w:cs="宋体"/>
        </w:rPr>
      </w:pPr>
      <w:r>
        <w:rPr>
          <w:rFonts w:hint="eastAsia" w:ascii="宋体" w:hAnsi="宋体" w:cs="宋体"/>
        </w:rPr>
        <w:t>其中：</w:t>
      </w:r>
    </w:p>
    <w:p>
      <w:pPr>
        <w:snapToGrid w:val="0"/>
        <w:spacing w:line="360" w:lineRule="auto"/>
        <w:ind w:firstLine="420" w:firstLineChars="200"/>
        <w:rPr>
          <w:rFonts w:ascii="宋体" w:hAnsi="宋体" w:cs="宋体"/>
        </w:rPr>
      </w:pPr>
      <w:r>
        <w:rPr>
          <w:rFonts w:hint="eastAsia" w:ascii="宋体" w:hAnsi="宋体" w:cs="宋体"/>
        </w:rPr>
        <w:t>（1）安全文明施工费：</w:t>
      </w:r>
    </w:p>
    <w:p>
      <w:pPr>
        <w:snapToGrid w:val="0"/>
        <w:spacing w:line="360" w:lineRule="auto"/>
        <w:ind w:firstLine="945" w:firstLineChars="450"/>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napToGrid w:val="0"/>
        <w:spacing w:line="360" w:lineRule="auto"/>
        <w:ind w:firstLine="420" w:firstLineChars="200"/>
        <w:rPr>
          <w:rFonts w:ascii="宋体" w:hAnsi="宋体" w:cs="宋体"/>
        </w:rPr>
      </w:pPr>
      <w:r>
        <w:rPr>
          <w:rFonts w:hint="eastAsia" w:ascii="宋体" w:hAnsi="宋体" w:cs="宋体"/>
        </w:rPr>
        <w:t>（2）材料和工程设备暂估价金额：</w:t>
      </w:r>
    </w:p>
    <w:p>
      <w:pPr>
        <w:snapToGrid w:val="0"/>
        <w:spacing w:line="360" w:lineRule="auto"/>
        <w:ind w:firstLine="945" w:firstLineChars="450"/>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napToGrid w:val="0"/>
        <w:spacing w:line="360" w:lineRule="auto"/>
        <w:ind w:firstLine="420" w:firstLineChars="200"/>
        <w:rPr>
          <w:rFonts w:ascii="宋体" w:hAnsi="宋体" w:cs="宋体"/>
        </w:rPr>
      </w:pPr>
      <w:r>
        <w:rPr>
          <w:rFonts w:hint="eastAsia" w:ascii="宋体" w:hAnsi="宋体" w:cs="宋体"/>
        </w:rPr>
        <w:t>（3）专业工程暂估价金额：</w:t>
      </w:r>
    </w:p>
    <w:p>
      <w:pPr>
        <w:snapToGrid w:val="0"/>
        <w:spacing w:line="360" w:lineRule="auto"/>
        <w:ind w:firstLine="945" w:firstLineChars="450"/>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napToGrid w:val="0"/>
        <w:spacing w:line="360" w:lineRule="auto"/>
        <w:ind w:firstLine="420" w:firstLineChars="200"/>
        <w:rPr>
          <w:rFonts w:ascii="宋体" w:hAnsi="宋体" w:cs="宋体"/>
        </w:rPr>
      </w:pPr>
      <w:r>
        <w:rPr>
          <w:rFonts w:hint="eastAsia" w:ascii="宋体" w:hAnsi="宋体" w:cs="宋体"/>
        </w:rPr>
        <w:t>（4）暂列金额：</w:t>
      </w:r>
    </w:p>
    <w:p>
      <w:pPr>
        <w:snapToGrid w:val="0"/>
        <w:spacing w:line="360" w:lineRule="auto"/>
        <w:ind w:firstLine="945" w:firstLineChars="450"/>
        <w:rPr>
          <w:rFonts w:ascii="宋体" w:hAnsi="宋体" w:cs="宋体"/>
        </w:rPr>
      </w:pPr>
      <w:r>
        <w:rPr>
          <w:rFonts w:hint="eastAsia" w:ascii="宋体" w:hAnsi="宋体" w:cs="宋体"/>
        </w:rPr>
        <w:t>人民币（大写）</w:t>
      </w:r>
      <w:r>
        <w:rPr>
          <w:rFonts w:hint="eastAsia" w:ascii="宋体" w:hAnsi="宋体" w:cs="宋体"/>
          <w:u w:val="single"/>
        </w:rPr>
        <w:t xml:space="preserve">              </w:t>
      </w:r>
      <w:r>
        <w:rPr>
          <w:rFonts w:hint="eastAsia" w:ascii="宋体" w:hAnsi="宋体" w:cs="宋体"/>
        </w:rPr>
        <w:t xml:space="preserve"> (¥</w:t>
      </w:r>
      <w:r>
        <w:rPr>
          <w:rFonts w:hint="eastAsia" w:ascii="宋体" w:hAnsi="宋体" w:cs="宋体"/>
          <w:u w:val="single"/>
        </w:rPr>
        <w:t xml:space="preserve">          </w:t>
      </w:r>
      <w:r>
        <w:rPr>
          <w:rFonts w:hint="eastAsia" w:ascii="宋体" w:hAnsi="宋体" w:cs="宋体"/>
        </w:rPr>
        <w:t>元)。</w:t>
      </w:r>
    </w:p>
    <w:p>
      <w:pPr>
        <w:snapToGrid w:val="0"/>
        <w:spacing w:line="360" w:lineRule="auto"/>
        <w:ind w:firstLine="420" w:firstLineChars="200"/>
        <w:rPr>
          <w:rFonts w:ascii="宋体" w:hAnsi="宋体" w:cs="宋体"/>
        </w:rPr>
      </w:pPr>
      <w:r>
        <w:rPr>
          <w:rFonts w:hint="eastAsia" w:ascii="宋体" w:hAnsi="宋体" w:cs="宋体"/>
        </w:rPr>
        <w:t>2.合同价格形式：</w:t>
      </w:r>
      <w:r>
        <w:rPr>
          <w:rFonts w:hint="eastAsia" w:ascii="宋体" w:hAnsi="宋体" w:cs="宋体"/>
          <w:u w:val="single"/>
        </w:rPr>
        <w:t xml:space="preserve">  </w:t>
      </w:r>
      <w:r>
        <w:rPr>
          <w:rFonts w:hint="eastAsia" w:ascii="宋体" w:hAnsi="宋体" w:cs="宋体"/>
          <w:b/>
          <w:bCs/>
          <w:u w:val="single"/>
        </w:rPr>
        <w:t xml:space="preserve">总价合同  </w:t>
      </w:r>
      <w:r>
        <w:rPr>
          <w:rFonts w:hint="eastAsia" w:ascii="宋体" w:hAnsi="宋体" w:cs="宋体"/>
          <w:u w:val="single"/>
        </w:rPr>
        <w:t xml:space="preserve"> </w:t>
      </w:r>
      <w:r>
        <w:rPr>
          <w:rFonts w:hint="eastAsia" w:ascii="宋体" w:hAnsi="宋体" w:cs="宋体"/>
        </w:rPr>
        <w:t>。</w:t>
      </w:r>
    </w:p>
    <w:p>
      <w:pPr>
        <w:pStyle w:val="5"/>
        <w:snapToGrid w:val="0"/>
        <w:spacing w:before="120" w:after="120" w:line="360" w:lineRule="auto"/>
        <w:rPr>
          <w:rFonts w:ascii="宋体" w:hAnsi="宋体" w:cs="宋体"/>
          <w:b w:val="0"/>
          <w:sz w:val="24"/>
          <w:szCs w:val="24"/>
        </w:rPr>
      </w:pPr>
      <w:r>
        <w:rPr>
          <w:rFonts w:hint="eastAsia" w:ascii="宋体" w:hAnsi="宋体" w:cs="宋体"/>
          <w:bCs w:val="0"/>
          <w:sz w:val="24"/>
          <w:szCs w:val="24"/>
        </w:rPr>
        <w:t xml:space="preserve">   </w:t>
      </w:r>
      <w:r>
        <w:rPr>
          <w:rFonts w:hint="eastAsia" w:ascii="宋体" w:hAnsi="宋体" w:cs="宋体"/>
          <w:b w:val="0"/>
          <w:sz w:val="24"/>
          <w:szCs w:val="24"/>
        </w:rPr>
        <w:t xml:space="preserve"> </w:t>
      </w:r>
      <w:bookmarkStart w:id="53" w:name="_Toc351203485"/>
      <w:r>
        <w:rPr>
          <w:rFonts w:hint="eastAsia" w:ascii="宋体" w:hAnsi="宋体" w:cs="宋体"/>
          <w:b w:val="0"/>
          <w:sz w:val="24"/>
          <w:szCs w:val="24"/>
        </w:rPr>
        <w:t>五、</w:t>
      </w:r>
      <w:bookmarkEnd w:id="53"/>
      <w:r>
        <w:rPr>
          <w:rFonts w:hint="eastAsia" w:ascii="宋体" w:hAnsi="宋体" w:cs="宋体"/>
          <w:b w:val="0"/>
          <w:sz w:val="24"/>
          <w:szCs w:val="24"/>
        </w:rPr>
        <w:t>项目经理</w:t>
      </w:r>
    </w:p>
    <w:p>
      <w:pPr>
        <w:snapToGrid w:val="0"/>
        <w:spacing w:line="360" w:lineRule="auto"/>
        <w:ind w:firstLine="420" w:firstLineChars="200"/>
        <w:rPr>
          <w:rFonts w:ascii="宋体" w:hAnsi="宋体" w:cs="宋体"/>
        </w:rPr>
      </w:pPr>
      <w:r>
        <w:rPr>
          <w:rFonts w:hint="eastAsia" w:ascii="宋体" w:hAnsi="宋体" w:cs="宋体"/>
        </w:rPr>
        <w:t>承包人项目经理：</w:t>
      </w:r>
      <w:r>
        <w:rPr>
          <w:rFonts w:hint="eastAsia" w:ascii="宋体" w:hAnsi="宋体" w:cs="宋体"/>
          <w:u w:val="single"/>
        </w:rPr>
        <w:t xml:space="preserve">                     </w:t>
      </w:r>
      <w:r>
        <w:rPr>
          <w:rFonts w:hint="eastAsia" w:ascii="宋体" w:hAnsi="宋体" w:cs="宋体"/>
        </w:rPr>
        <w:t>。</w:t>
      </w:r>
    </w:p>
    <w:p>
      <w:pPr>
        <w:pStyle w:val="5"/>
        <w:snapToGrid w:val="0"/>
        <w:spacing w:before="120" w:after="120" w:line="360" w:lineRule="auto"/>
        <w:rPr>
          <w:rFonts w:ascii="宋体" w:hAnsi="宋体" w:cs="宋体"/>
          <w:bCs w:val="0"/>
          <w:sz w:val="24"/>
          <w:szCs w:val="24"/>
        </w:rPr>
      </w:pPr>
      <w:r>
        <w:rPr>
          <w:rFonts w:hint="eastAsia" w:ascii="宋体" w:hAnsi="宋体" w:cs="宋体"/>
          <w:bCs w:val="0"/>
          <w:sz w:val="24"/>
          <w:szCs w:val="24"/>
        </w:rPr>
        <w:t xml:space="preserve">   </w:t>
      </w:r>
      <w:r>
        <w:rPr>
          <w:rFonts w:hint="eastAsia" w:ascii="宋体" w:hAnsi="宋体" w:cs="宋体"/>
          <w:b w:val="0"/>
          <w:sz w:val="24"/>
          <w:szCs w:val="24"/>
        </w:rPr>
        <w:t xml:space="preserve"> </w:t>
      </w:r>
      <w:bookmarkStart w:id="54" w:name="_Toc351203486"/>
      <w:r>
        <w:rPr>
          <w:rFonts w:hint="eastAsia" w:ascii="宋体" w:hAnsi="宋体" w:cs="宋体"/>
          <w:b w:val="0"/>
          <w:sz w:val="24"/>
          <w:szCs w:val="24"/>
        </w:rPr>
        <w:t>六、合同文件构成</w:t>
      </w:r>
      <w:bookmarkEnd w:id="54"/>
    </w:p>
    <w:p>
      <w:pPr>
        <w:snapToGrid w:val="0"/>
        <w:spacing w:line="360" w:lineRule="auto"/>
        <w:ind w:firstLine="420" w:firstLineChars="200"/>
        <w:rPr>
          <w:rFonts w:ascii="宋体" w:hAnsi="宋体" w:cs="宋体"/>
          <w:bCs/>
        </w:rPr>
      </w:pPr>
      <w:r>
        <w:rPr>
          <w:rFonts w:hint="eastAsia" w:ascii="宋体" w:hAnsi="宋体" w:cs="宋体"/>
          <w:bCs/>
        </w:rPr>
        <w:t>本协议书与下列文件一起构成合同文件：</w:t>
      </w:r>
    </w:p>
    <w:p>
      <w:pPr>
        <w:autoSpaceDE w:val="0"/>
        <w:autoSpaceDN w:val="0"/>
        <w:adjustRightInd w:val="0"/>
        <w:snapToGrid w:val="0"/>
        <w:spacing w:line="360" w:lineRule="auto"/>
        <w:ind w:firstLine="420" w:firstLineChars="200"/>
        <w:rPr>
          <w:rFonts w:ascii="宋体" w:hAnsi="宋体" w:cs="宋体"/>
        </w:rPr>
      </w:pPr>
      <w:r>
        <w:rPr>
          <w:rFonts w:hint="eastAsia" w:ascii="宋体" w:hAnsi="宋体" w:cs="宋体"/>
        </w:rPr>
        <w:t>（1）中标通知书（如果有）；</w:t>
      </w:r>
    </w:p>
    <w:p>
      <w:pPr>
        <w:autoSpaceDE w:val="0"/>
        <w:autoSpaceDN w:val="0"/>
        <w:adjustRightInd w:val="0"/>
        <w:snapToGrid w:val="0"/>
        <w:spacing w:line="360" w:lineRule="auto"/>
        <w:ind w:firstLine="420" w:firstLineChars="200"/>
        <w:rPr>
          <w:rFonts w:ascii="宋体" w:hAnsi="宋体" w:cs="宋体"/>
        </w:rPr>
      </w:pPr>
      <w:r>
        <w:rPr>
          <w:rFonts w:hint="eastAsia" w:ascii="宋体" w:hAnsi="宋体" w:cs="宋体"/>
        </w:rPr>
        <w:t xml:space="preserve">（2）投标函及其附录（如果有）； </w:t>
      </w:r>
    </w:p>
    <w:p>
      <w:pPr>
        <w:autoSpaceDE w:val="0"/>
        <w:autoSpaceDN w:val="0"/>
        <w:adjustRightInd w:val="0"/>
        <w:snapToGrid w:val="0"/>
        <w:spacing w:line="360" w:lineRule="auto"/>
        <w:ind w:firstLine="420" w:firstLineChars="200"/>
        <w:rPr>
          <w:rFonts w:ascii="宋体" w:hAnsi="宋体" w:cs="宋体"/>
        </w:rPr>
      </w:pPr>
      <w:r>
        <w:rPr>
          <w:rFonts w:hint="eastAsia" w:ascii="宋体" w:hAnsi="宋体" w:cs="宋体"/>
        </w:rPr>
        <w:t>（3）专用合同条款及其附件；</w:t>
      </w:r>
    </w:p>
    <w:p>
      <w:pPr>
        <w:autoSpaceDE w:val="0"/>
        <w:autoSpaceDN w:val="0"/>
        <w:adjustRightInd w:val="0"/>
        <w:snapToGrid w:val="0"/>
        <w:spacing w:line="360" w:lineRule="auto"/>
        <w:ind w:firstLine="420" w:firstLineChars="200"/>
        <w:rPr>
          <w:rFonts w:ascii="宋体" w:hAnsi="宋体" w:cs="宋体"/>
        </w:rPr>
      </w:pPr>
      <w:r>
        <w:rPr>
          <w:rFonts w:hint="eastAsia" w:ascii="宋体" w:hAnsi="宋体" w:cs="宋体"/>
        </w:rPr>
        <w:t>（4）通用合同条款；</w:t>
      </w:r>
    </w:p>
    <w:p>
      <w:pPr>
        <w:autoSpaceDE w:val="0"/>
        <w:autoSpaceDN w:val="0"/>
        <w:adjustRightInd w:val="0"/>
        <w:snapToGrid w:val="0"/>
        <w:spacing w:line="360" w:lineRule="auto"/>
        <w:ind w:firstLine="420" w:firstLineChars="200"/>
        <w:rPr>
          <w:rFonts w:ascii="宋体" w:hAnsi="宋体" w:cs="宋体"/>
        </w:rPr>
      </w:pPr>
      <w:r>
        <w:rPr>
          <w:rFonts w:hint="eastAsia" w:ascii="宋体" w:hAnsi="宋体" w:cs="宋体"/>
        </w:rPr>
        <w:t>（5）技术标准和要求；</w:t>
      </w:r>
    </w:p>
    <w:p>
      <w:pPr>
        <w:autoSpaceDE w:val="0"/>
        <w:autoSpaceDN w:val="0"/>
        <w:adjustRightInd w:val="0"/>
        <w:snapToGrid w:val="0"/>
        <w:spacing w:line="360" w:lineRule="auto"/>
        <w:ind w:firstLine="420" w:firstLineChars="200"/>
        <w:rPr>
          <w:rFonts w:ascii="宋体" w:hAnsi="宋体" w:cs="宋体"/>
        </w:rPr>
      </w:pPr>
      <w:r>
        <w:rPr>
          <w:rFonts w:hint="eastAsia" w:ascii="宋体" w:hAnsi="宋体" w:cs="宋体"/>
        </w:rPr>
        <w:t>（6）图纸；</w:t>
      </w:r>
    </w:p>
    <w:p>
      <w:pPr>
        <w:autoSpaceDE w:val="0"/>
        <w:autoSpaceDN w:val="0"/>
        <w:adjustRightInd w:val="0"/>
        <w:snapToGrid w:val="0"/>
        <w:spacing w:line="360" w:lineRule="auto"/>
        <w:ind w:firstLine="420" w:firstLineChars="200"/>
        <w:rPr>
          <w:rFonts w:ascii="宋体" w:hAnsi="宋体" w:cs="宋体"/>
        </w:rPr>
      </w:pPr>
      <w:r>
        <w:rPr>
          <w:rFonts w:hint="eastAsia" w:ascii="宋体" w:hAnsi="宋体" w:cs="宋体"/>
        </w:rPr>
        <w:t>（7）已标价工程量清单或预算书；</w:t>
      </w:r>
    </w:p>
    <w:p>
      <w:pPr>
        <w:autoSpaceDE w:val="0"/>
        <w:autoSpaceDN w:val="0"/>
        <w:adjustRightInd w:val="0"/>
        <w:snapToGrid w:val="0"/>
        <w:spacing w:line="360" w:lineRule="auto"/>
        <w:ind w:firstLine="420" w:firstLineChars="200"/>
        <w:rPr>
          <w:rFonts w:ascii="宋体" w:hAnsi="宋体" w:cs="宋体"/>
        </w:rPr>
      </w:pPr>
      <w:r>
        <w:rPr>
          <w:rFonts w:hint="eastAsia" w:ascii="宋体" w:hAnsi="宋体" w:cs="宋体"/>
        </w:rPr>
        <w:t>（8）其他合同文件。</w:t>
      </w:r>
    </w:p>
    <w:p>
      <w:pPr>
        <w:autoSpaceDE w:val="0"/>
        <w:autoSpaceDN w:val="0"/>
        <w:adjustRightInd w:val="0"/>
        <w:snapToGrid w:val="0"/>
        <w:spacing w:line="360" w:lineRule="auto"/>
        <w:ind w:firstLine="420" w:firstLineChars="200"/>
        <w:rPr>
          <w:rFonts w:ascii="宋体" w:hAnsi="宋体" w:cs="宋体"/>
        </w:rPr>
      </w:pPr>
      <w:r>
        <w:rPr>
          <w:rFonts w:hint="eastAsia" w:ascii="宋体" w:hAnsi="宋体" w:cs="宋体"/>
        </w:rPr>
        <w:t>在合同订立及履行过程中形成的与合同有关的文件均构成合同文件组成部分。</w:t>
      </w:r>
    </w:p>
    <w:p>
      <w:pPr>
        <w:autoSpaceDE w:val="0"/>
        <w:autoSpaceDN w:val="0"/>
        <w:adjustRightInd w:val="0"/>
        <w:snapToGrid w:val="0"/>
        <w:spacing w:line="360" w:lineRule="auto"/>
        <w:ind w:firstLine="420" w:firstLineChars="200"/>
        <w:rPr>
          <w:rFonts w:ascii="宋体" w:hAnsi="宋体" w:cs="宋体"/>
        </w:rPr>
      </w:pPr>
      <w:r>
        <w:rPr>
          <w:rFonts w:hint="eastAsia" w:ascii="宋体" w:hAnsi="宋体" w:cs="宋体"/>
        </w:rPr>
        <w:t>上述各项合同文件包括合同当事人就该项合同文件所作出的补充和修改，属于同一类内容的文件，应以最新签署的为准。专用合同条款及其附件须经合同当事人签字或盖章。</w:t>
      </w:r>
    </w:p>
    <w:p>
      <w:pPr>
        <w:pStyle w:val="5"/>
        <w:snapToGrid w:val="0"/>
        <w:spacing w:before="120" w:after="120" w:line="360" w:lineRule="auto"/>
        <w:rPr>
          <w:rFonts w:ascii="宋体" w:hAnsi="宋体" w:cs="宋体"/>
          <w:b w:val="0"/>
          <w:bCs w:val="0"/>
          <w:sz w:val="24"/>
          <w:szCs w:val="24"/>
        </w:rPr>
      </w:pPr>
      <w:r>
        <w:rPr>
          <w:rFonts w:hint="eastAsia" w:ascii="宋体" w:hAnsi="宋体" w:cs="宋体"/>
          <w:b w:val="0"/>
          <w:bCs w:val="0"/>
          <w:sz w:val="24"/>
          <w:szCs w:val="24"/>
        </w:rPr>
        <w:t xml:space="preserve">   </w:t>
      </w:r>
      <w:r>
        <w:rPr>
          <w:rFonts w:hint="eastAsia" w:ascii="宋体" w:hAnsi="宋体" w:cs="宋体"/>
          <w:b w:val="0"/>
          <w:sz w:val="24"/>
          <w:szCs w:val="24"/>
        </w:rPr>
        <w:t xml:space="preserve"> </w:t>
      </w:r>
      <w:bookmarkStart w:id="55" w:name="_Toc351203487"/>
      <w:r>
        <w:rPr>
          <w:rFonts w:hint="eastAsia" w:ascii="宋体" w:hAnsi="宋体" w:cs="宋体"/>
          <w:b w:val="0"/>
          <w:sz w:val="24"/>
          <w:szCs w:val="24"/>
        </w:rPr>
        <w:t>七、承诺</w:t>
      </w:r>
      <w:bookmarkEnd w:id="55"/>
    </w:p>
    <w:p>
      <w:pPr>
        <w:snapToGrid w:val="0"/>
        <w:spacing w:line="360" w:lineRule="auto"/>
        <w:ind w:firstLine="420" w:firstLineChars="200"/>
        <w:rPr>
          <w:rFonts w:ascii="宋体" w:hAnsi="宋体" w:cs="宋体"/>
          <w:bCs/>
        </w:rPr>
      </w:pPr>
      <w:r>
        <w:rPr>
          <w:rFonts w:hint="eastAsia" w:ascii="宋体" w:hAnsi="宋体" w:cs="宋体"/>
          <w:bCs/>
        </w:rPr>
        <w:t>1.发包人承诺按照法律规定履行项目审批手续、筹集工程建设资金并按照合同约定的期限和方式支付合同价款。</w:t>
      </w:r>
    </w:p>
    <w:p>
      <w:pPr>
        <w:snapToGrid w:val="0"/>
        <w:spacing w:line="360" w:lineRule="auto"/>
        <w:ind w:firstLine="420" w:firstLineChars="200"/>
        <w:rPr>
          <w:rFonts w:ascii="宋体" w:hAnsi="宋体" w:cs="宋体"/>
          <w:bCs/>
        </w:rPr>
      </w:pPr>
      <w:r>
        <w:rPr>
          <w:rFonts w:hint="eastAsia" w:ascii="宋体" w:hAnsi="宋体" w:cs="宋体"/>
          <w:bCs/>
        </w:rPr>
        <w:t>2.承包人承诺按照法律规定及合同约定组织完成工程施工，确保工程质量和安全，不进行转包及违法分包，并在缺陷责任期及保修期内承担相应的工程维修责任。</w:t>
      </w:r>
    </w:p>
    <w:p>
      <w:pPr>
        <w:snapToGrid w:val="0"/>
        <w:spacing w:line="360" w:lineRule="auto"/>
        <w:ind w:firstLine="420" w:firstLineChars="200"/>
        <w:rPr>
          <w:rFonts w:ascii="宋体" w:hAnsi="宋体" w:cs="宋体"/>
          <w:bCs/>
        </w:rPr>
      </w:pPr>
      <w:r>
        <w:rPr>
          <w:rFonts w:hint="eastAsia" w:ascii="宋体" w:hAnsi="宋体" w:cs="宋体"/>
          <w:bCs/>
        </w:rPr>
        <w:t>3.发包人和承包人通过招投标形式签订合同的，双方理解并承诺不再就同一工程另行签订与合同实质性内容相背离的协议。</w:t>
      </w:r>
    </w:p>
    <w:p>
      <w:pPr>
        <w:snapToGrid w:val="0"/>
        <w:spacing w:line="360" w:lineRule="auto"/>
        <w:rPr>
          <w:rFonts w:ascii="宋体" w:hAnsi="宋体" w:cs="宋体"/>
          <w:bCs/>
        </w:rPr>
      </w:pPr>
      <w:bookmarkStart w:id="56" w:name="_Toc351203488"/>
      <w:r>
        <w:rPr>
          <w:rFonts w:hint="eastAsia" w:ascii="宋体" w:hAnsi="宋体" w:cs="宋体"/>
          <w:b/>
        </w:rPr>
        <w:t xml:space="preserve">    八、词语含义</w:t>
      </w:r>
      <w:bookmarkEnd w:id="56"/>
    </w:p>
    <w:p>
      <w:pPr>
        <w:snapToGrid w:val="0"/>
        <w:spacing w:line="360" w:lineRule="auto"/>
        <w:ind w:firstLine="420" w:firstLineChars="200"/>
        <w:rPr>
          <w:rFonts w:ascii="宋体" w:hAnsi="宋体" w:cs="宋体"/>
          <w:bCs/>
        </w:rPr>
      </w:pPr>
      <w:r>
        <w:rPr>
          <w:rFonts w:hint="eastAsia" w:ascii="宋体" w:hAnsi="宋体" w:cs="宋体"/>
          <w:bCs/>
        </w:rPr>
        <w:t>本协议书中词语含义与第二部分通用合同条款中赋予的含义相同。</w:t>
      </w:r>
    </w:p>
    <w:p>
      <w:pPr>
        <w:pStyle w:val="5"/>
        <w:snapToGrid w:val="0"/>
        <w:spacing w:before="120" w:after="120" w:line="360" w:lineRule="auto"/>
        <w:rPr>
          <w:rFonts w:ascii="宋体" w:hAnsi="宋体" w:cs="宋体"/>
          <w:bCs w:val="0"/>
          <w:sz w:val="24"/>
          <w:szCs w:val="24"/>
        </w:rPr>
      </w:pPr>
      <w:r>
        <w:rPr>
          <w:rFonts w:hint="eastAsia" w:ascii="宋体" w:hAnsi="宋体" w:cs="宋体"/>
          <w:bCs w:val="0"/>
          <w:sz w:val="24"/>
          <w:szCs w:val="24"/>
        </w:rPr>
        <w:t xml:space="preserve">  </w:t>
      </w:r>
      <w:r>
        <w:rPr>
          <w:rFonts w:hint="eastAsia" w:ascii="宋体" w:hAnsi="宋体" w:cs="宋体"/>
          <w:b w:val="0"/>
          <w:sz w:val="24"/>
          <w:szCs w:val="24"/>
        </w:rPr>
        <w:t xml:space="preserve">  </w:t>
      </w:r>
      <w:bookmarkStart w:id="57" w:name="_Toc351203489"/>
      <w:r>
        <w:rPr>
          <w:rFonts w:hint="eastAsia" w:ascii="宋体" w:hAnsi="宋体" w:cs="宋体"/>
          <w:b w:val="0"/>
          <w:sz w:val="24"/>
          <w:szCs w:val="24"/>
        </w:rPr>
        <w:t>九、签订时间</w:t>
      </w:r>
      <w:bookmarkEnd w:id="57"/>
    </w:p>
    <w:p>
      <w:pPr>
        <w:snapToGrid w:val="0"/>
        <w:spacing w:line="360" w:lineRule="auto"/>
        <w:ind w:firstLine="420" w:firstLineChars="200"/>
        <w:rPr>
          <w:rFonts w:ascii="宋体" w:hAnsi="宋体" w:cs="宋体"/>
          <w:bCs/>
        </w:rPr>
      </w:pPr>
      <w:r>
        <w:rPr>
          <w:rFonts w:hint="eastAsia" w:ascii="宋体" w:hAnsi="宋体" w:cs="宋体"/>
          <w:bCs/>
        </w:rPr>
        <w:t>本合同于</w:t>
      </w:r>
      <w:r>
        <w:rPr>
          <w:rFonts w:hint="eastAsia" w:ascii="宋体" w:hAnsi="宋体" w:cs="宋体"/>
          <w:bCs/>
          <w:u w:val="single"/>
        </w:rPr>
        <w:t xml:space="preserve">   2020   </w:t>
      </w:r>
      <w:r>
        <w:rPr>
          <w:rFonts w:hint="eastAsia" w:ascii="宋体" w:hAnsi="宋体" w:cs="宋体"/>
          <w:bCs/>
        </w:rPr>
        <w:t>年</w:t>
      </w:r>
      <w:r>
        <w:rPr>
          <w:rFonts w:hint="eastAsia" w:ascii="宋体" w:hAnsi="宋体" w:cs="宋体"/>
          <w:bCs/>
          <w:u w:val="single"/>
        </w:rPr>
        <w:t xml:space="preserve">    </w:t>
      </w:r>
      <w:r>
        <w:rPr>
          <w:rFonts w:hint="eastAsia" w:ascii="宋体" w:hAnsi="宋体" w:cs="宋体"/>
          <w:bCs/>
        </w:rPr>
        <w:t>月</w:t>
      </w:r>
      <w:r>
        <w:rPr>
          <w:rFonts w:hint="eastAsia" w:ascii="宋体" w:hAnsi="宋体" w:cs="宋体"/>
          <w:bCs/>
          <w:u w:val="single"/>
        </w:rPr>
        <w:t xml:space="preserve">    </w:t>
      </w:r>
      <w:r>
        <w:rPr>
          <w:rFonts w:hint="eastAsia" w:ascii="宋体" w:hAnsi="宋体" w:cs="宋体"/>
          <w:bCs/>
        </w:rPr>
        <w:t>日签订。</w:t>
      </w:r>
    </w:p>
    <w:p>
      <w:pPr>
        <w:pStyle w:val="5"/>
        <w:snapToGrid w:val="0"/>
        <w:spacing w:before="120" w:after="120" w:line="360" w:lineRule="auto"/>
        <w:rPr>
          <w:rFonts w:ascii="宋体" w:hAnsi="宋体" w:cs="宋体"/>
          <w:bCs w:val="0"/>
          <w:sz w:val="24"/>
          <w:szCs w:val="24"/>
        </w:rPr>
      </w:pPr>
      <w:r>
        <w:rPr>
          <w:rFonts w:hint="eastAsia" w:ascii="宋体" w:hAnsi="宋体" w:cs="宋体"/>
          <w:bCs w:val="0"/>
          <w:sz w:val="24"/>
          <w:szCs w:val="24"/>
        </w:rPr>
        <w:t xml:space="preserve">    </w:t>
      </w:r>
      <w:bookmarkStart w:id="58" w:name="_Toc351203490"/>
      <w:r>
        <w:rPr>
          <w:rFonts w:hint="eastAsia" w:ascii="宋体" w:hAnsi="宋体" w:cs="宋体"/>
          <w:b w:val="0"/>
          <w:sz w:val="24"/>
          <w:szCs w:val="24"/>
        </w:rPr>
        <w:t>十、签订地点</w:t>
      </w:r>
      <w:bookmarkEnd w:id="58"/>
    </w:p>
    <w:p>
      <w:pPr>
        <w:snapToGrid w:val="0"/>
        <w:spacing w:line="360" w:lineRule="auto"/>
        <w:ind w:firstLine="420" w:firstLineChars="200"/>
        <w:rPr>
          <w:rFonts w:ascii="宋体" w:hAnsi="宋体" w:cs="宋体"/>
          <w:bCs/>
        </w:rPr>
      </w:pPr>
      <w:r>
        <w:rPr>
          <w:rFonts w:hint="eastAsia" w:ascii="宋体" w:hAnsi="宋体" w:cs="宋体"/>
          <w:bCs/>
        </w:rPr>
        <w:t>本合同在</w:t>
      </w:r>
      <w:r>
        <w:rPr>
          <w:rFonts w:hint="eastAsia" w:ascii="宋体" w:hAnsi="宋体" w:cs="宋体"/>
          <w:bCs/>
          <w:u w:val="single"/>
        </w:rPr>
        <w:t xml:space="preserve">  六安世立医院专家楼  </w:t>
      </w:r>
      <w:r>
        <w:rPr>
          <w:rFonts w:hint="eastAsia" w:ascii="宋体" w:hAnsi="宋体" w:cs="宋体"/>
          <w:bCs/>
        </w:rPr>
        <w:t>签订。</w:t>
      </w:r>
    </w:p>
    <w:p>
      <w:pPr>
        <w:pStyle w:val="5"/>
        <w:snapToGrid w:val="0"/>
        <w:spacing w:before="120" w:after="120" w:line="360" w:lineRule="auto"/>
        <w:rPr>
          <w:rFonts w:ascii="宋体" w:hAnsi="宋体" w:cs="宋体"/>
          <w:bCs w:val="0"/>
          <w:sz w:val="24"/>
          <w:szCs w:val="24"/>
        </w:rPr>
      </w:pPr>
      <w:r>
        <w:rPr>
          <w:rFonts w:hint="eastAsia" w:ascii="宋体" w:hAnsi="宋体" w:cs="宋体"/>
          <w:bCs w:val="0"/>
          <w:sz w:val="24"/>
          <w:szCs w:val="24"/>
        </w:rPr>
        <w:t xml:space="preserve">    </w:t>
      </w:r>
      <w:bookmarkStart w:id="59" w:name="_Toc351203491"/>
      <w:r>
        <w:rPr>
          <w:rFonts w:hint="eastAsia" w:ascii="宋体" w:hAnsi="宋体" w:cs="宋体"/>
          <w:b w:val="0"/>
          <w:sz w:val="24"/>
          <w:szCs w:val="24"/>
        </w:rPr>
        <w:t>十一、补充协议</w:t>
      </w:r>
      <w:bookmarkEnd w:id="59"/>
    </w:p>
    <w:p>
      <w:pPr>
        <w:snapToGrid w:val="0"/>
        <w:spacing w:line="360" w:lineRule="auto"/>
        <w:ind w:firstLine="420" w:firstLineChars="200"/>
        <w:rPr>
          <w:rFonts w:ascii="宋体" w:hAnsi="宋体" w:cs="宋体"/>
          <w:b/>
          <w:bCs/>
        </w:rPr>
      </w:pPr>
      <w:r>
        <w:rPr>
          <w:rFonts w:hint="eastAsia" w:ascii="宋体" w:hAnsi="宋体" w:cs="宋体"/>
          <w:bCs/>
        </w:rPr>
        <w:t>合同未尽事宜，合同当事人另行签订补充协议，补充协议是合同的组成部分。</w:t>
      </w:r>
    </w:p>
    <w:p>
      <w:pPr>
        <w:pStyle w:val="5"/>
        <w:snapToGrid w:val="0"/>
        <w:spacing w:before="120" w:after="120" w:line="360" w:lineRule="auto"/>
        <w:rPr>
          <w:rFonts w:ascii="宋体" w:hAnsi="宋体" w:cs="宋体"/>
          <w:bCs w:val="0"/>
          <w:sz w:val="24"/>
          <w:szCs w:val="24"/>
        </w:rPr>
      </w:pPr>
      <w:r>
        <w:rPr>
          <w:rFonts w:hint="eastAsia" w:ascii="宋体" w:hAnsi="宋体" w:cs="宋体"/>
          <w:bCs w:val="0"/>
          <w:sz w:val="24"/>
          <w:szCs w:val="24"/>
        </w:rPr>
        <w:t xml:space="preserve">    </w:t>
      </w:r>
      <w:bookmarkStart w:id="60" w:name="_Toc351203492"/>
      <w:r>
        <w:rPr>
          <w:rFonts w:hint="eastAsia" w:ascii="宋体" w:hAnsi="宋体" w:cs="宋体"/>
          <w:b w:val="0"/>
          <w:sz w:val="24"/>
          <w:szCs w:val="24"/>
        </w:rPr>
        <w:t>十二、合同生效</w:t>
      </w:r>
      <w:bookmarkEnd w:id="60"/>
    </w:p>
    <w:p>
      <w:pPr>
        <w:snapToGrid w:val="0"/>
        <w:spacing w:line="360" w:lineRule="auto"/>
        <w:ind w:firstLine="420" w:firstLineChars="200"/>
        <w:rPr>
          <w:rFonts w:ascii="宋体" w:hAnsi="宋体" w:cs="宋体"/>
          <w:bCs/>
        </w:rPr>
      </w:pPr>
      <w:r>
        <w:rPr>
          <w:rFonts w:hint="eastAsia" w:ascii="宋体" w:hAnsi="宋体" w:cs="宋体"/>
          <w:bCs/>
        </w:rPr>
        <w:t>本合同自</w:t>
      </w:r>
      <w:r>
        <w:rPr>
          <w:rFonts w:hint="eastAsia" w:ascii="宋体" w:hAnsi="宋体" w:cs="宋体"/>
          <w:bCs/>
          <w:u w:val="single"/>
        </w:rPr>
        <w:t xml:space="preserve">   双方签字盖章后  </w:t>
      </w:r>
      <w:r>
        <w:rPr>
          <w:rFonts w:hint="eastAsia" w:ascii="宋体" w:hAnsi="宋体" w:cs="宋体"/>
          <w:bCs/>
        </w:rPr>
        <w:t>生效。</w:t>
      </w:r>
    </w:p>
    <w:p>
      <w:pPr>
        <w:pStyle w:val="5"/>
        <w:snapToGrid w:val="0"/>
        <w:spacing w:before="120" w:after="120" w:line="360" w:lineRule="auto"/>
        <w:rPr>
          <w:rFonts w:ascii="宋体" w:hAnsi="宋体" w:cs="宋体"/>
          <w:bCs w:val="0"/>
          <w:sz w:val="24"/>
          <w:szCs w:val="24"/>
        </w:rPr>
      </w:pPr>
      <w:r>
        <w:rPr>
          <w:rFonts w:hint="eastAsia" w:ascii="宋体" w:hAnsi="宋体" w:cs="宋体"/>
          <w:bCs w:val="0"/>
          <w:sz w:val="24"/>
          <w:szCs w:val="24"/>
        </w:rPr>
        <w:t xml:space="preserve">    </w:t>
      </w:r>
      <w:bookmarkStart w:id="61" w:name="_Toc351203493"/>
      <w:r>
        <w:rPr>
          <w:rFonts w:hint="eastAsia" w:ascii="宋体" w:hAnsi="宋体" w:cs="宋体"/>
          <w:b w:val="0"/>
          <w:sz w:val="24"/>
          <w:szCs w:val="24"/>
        </w:rPr>
        <w:t>十三、合同份数</w:t>
      </w:r>
      <w:bookmarkEnd w:id="61"/>
    </w:p>
    <w:p>
      <w:pPr>
        <w:snapToGrid w:val="0"/>
        <w:spacing w:line="360" w:lineRule="auto"/>
        <w:ind w:firstLine="420" w:firstLineChars="200"/>
        <w:rPr>
          <w:rFonts w:ascii="宋体" w:hAnsi="宋体" w:cs="宋体"/>
          <w:bCs/>
        </w:rPr>
      </w:pPr>
      <w:r>
        <w:rPr>
          <w:rFonts w:hint="eastAsia" w:ascii="宋体" w:hAnsi="宋体" w:cs="宋体"/>
          <w:bCs/>
        </w:rPr>
        <w:t>本合同一式</w:t>
      </w:r>
      <w:r>
        <w:rPr>
          <w:rFonts w:hint="eastAsia" w:ascii="宋体" w:hAnsi="宋体" w:cs="宋体"/>
          <w:bCs/>
          <w:u w:val="single"/>
        </w:rPr>
        <w:t xml:space="preserve"> 陆 </w:t>
      </w:r>
      <w:r>
        <w:rPr>
          <w:rFonts w:hint="eastAsia" w:ascii="宋体" w:hAnsi="宋体" w:cs="宋体"/>
          <w:bCs/>
        </w:rPr>
        <w:t>份，均具有同等法律效力，发包人执</w:t>
      </w:r>
      <w:r>
        <w:rPr>
          <w:rFonts w:hint="eastAsia" w:ascii="宋体" w:hAnsi="宋体" w:cs="宋体"/>
          <w:bCs/>
          <w:u w:val="single"/>
        </w:rPr>
        <w:t xml:space="preserve"> 肆 </w:t>
      </w:r>
      <w:r>
        <w:rPr>
          <w:rFonts w:hint="eastAsia" w:ascii="宋体" w:hAnsi="宋体" w:cs="宋体"/>
          <w:bCs/>
        </w:rPr>
        <w:t>份，承包人执</w:t>
      </w:r>
      <w:r>
        <w:rPr>
          <w:rFonts w:hint="eastAsia" w:ascii="宋体" w:hAnsi="宋体" w:cs="宋体"/>
          <w:bCs/>
          <w:u w:val="single"/>
        </w:rPr>
        <w:t xml:space="preserve"> 贰 </w:t>
      </w:r>
      <w:r>
        <w:rPr>
          <w:rFonts w:hint="eastAsia" w:ascii="宋体" w:hAnsi="宋体" w:cs="宋体"/>
          <w:bCs/>
        </w:rPr>
        <w:t>份。</w:t>
      </w:r>
    </w:p>
    <w:p>
      <w:pPr>
        <w:spacing w:line="360" w:lineRule="auto"/>
        <w:rPr>
          <w:rFonts w:ascii="宋体" w:hAnsi="宋体" w:cs="宋体"/>
        </w:rPr>
      </w:pPr>
    </w:p>
    <w:p>
      <w:pPr>
        <w:spacing w:line="360" w:lineRule="auto"/>
        <w:rPr>
          <w:rFonts w:ascii="宋体" w:hAnsi="宋体" w:cs="宋体"/>
          <w:u w:val="single"/>
        </w:rPr>
      </w:pPr>
      <w:r>
        <w:rPr>
          <w:rFonts w:hint="eastAsia" w:ascii="宋体" w:hAnsi="宋体" w:cs="宋体"/>
        </w:rPr>
        <w:t xml:space="preserve">发包人：  (公章)             承包人：  (公章)                                 </w:t>
      </w:r>
    </w:p>
    <w:p>
      <w:pPr>
        <w:spacing w:line="360" w:lineRule="auto"/>
        <w:rPr>
          <w:rFonts w:ascii="宋体" w:hAnsi="宋体" w:cs="宋体"/>
        </w:rPr>
      </w:pPr>
      <w:r>
        <w:rPr>
          <w:rFonts w:hint="eastAsia" w:ascii="宋体" w:hAnsi="宋体" w:cs="宋体"/>
        </w:rPr>
        <w:t>法定代表人或其委托代理人：  法定代表人或其委托代理人：</w:t>
      </w:r>
    </w:p>
    <w:p>
      <w:pPr>
        <w:spacing w:line="360" w:lineRule="auto"/>
        <w:rPr>
          <w:rFonts w:ascii="宋体" w:hAnsi="宋体" w:cs="宋体"/>
          <w:u w:val="single"/>
        </w:rPr>
      </w:pPr>
      <w:r>
        <w:rPr>
          <w:rFonts w:hint="eastAsia" w:ascii="宋体" w:hAnsi="宋体" w:cs="宋体"/>
        </w:rPr>
        <w:t>（签字）                    （签字）</w:t>
      </w:r>
    </w:p>
    <w:p>
      <w:pPr>
        <w:tabs>
          <w:tab w:val="left" w:pos="4410"/>
        </w:tabs>
        <w:spacing w:line="360" w:lineRule="auto"/>
        <w:rPr>
          <w:rFonts w:ascii="宋体" w:hAnsi="宋体" w:cs="宋体"/>
        </w:rPr>
      </w:pPr>
      <w:r>
        <w:rPr>
          <w:rFonts w:hint="eastAsia" w:ascii="宋体" w:hAnsi="宋体" w:cs="宋体"/>
        </w:rPr>
        <w:t>组织机构代码：</w:t>
      </w:r>
      <w:r>
        <w:rPr>
          <w:rFonts w:hint="eastAsia" w:ascii="宋体" w:hAnsi="宋体" w:cs="宋体"/>
          <w:u w:val="single"/>
        </w:rPr>
        <w:t xml:space="preserve">       </w:t>
      </w:r>
      <w:r>
        <w:rPr>
          <w:rFonts w:hint="eastAsia" w:ascii="宋体" w:hAnsi="宋体" w:cs="宋体"/>
        </w:rPr>
        <w:t xml:space="preserve">  组织机构代码：</w:t>
      </w:r>
      <w:r>
        <w:rPr>
          <w:rFonts w:hint="eastAsia" w:ascii="宋体" w:hAnsi="宋体" w:cs="宋体"/>
          <w:u w:val="single"/>
        </w:rPr>
        <w:t xml:space="preserve">          </w:t>
      </w:r>
      <w:r>
        <w:rPr>
          <w:rFonts w:hint="eastAsia" w:ascii="宋体" w:hAnsi="宋体" w:cs="宋体"/>
        </w:rPr>
        <w:t xml:space="preserve"> </w:t>
      </w:r>
    </w:p>
    <w:p>
      <w:pPr>
        <w:spacing w:line="360" w:lineRule="auto"/>
        <w:rPr>
          <w:rFonts w:ascii="宋体" w:hAnsi="宋体" w:cs="宋体"/>
        </w:rPr>
      </w:pPr>
      <w:r>
        <w:rPr>
          <w:rFonts w:hint="eastAsia" w:ascii="宋体" w:hAnsi="宋体" w:cs="宋体"/>
        </w:rPr>
        <w:t>地  址：</w:t>
      </w:r>
      <w:r>
        <w:rPr>
          <w:rFonts w:hint="eastAsia" w:ascii="宋体" w:hAnsi="宋体" w:cs="宋体"/>
          <w:u w:val="single"/>
        </w:rPr>
        <w:t xml:space="preserve">     </w:t>
      </w:r>
      <w:r>
        <w:rPr>
          <w:rFonts w:hint="eastAsia" w:ascii="宋体" w:hAnsi="宋体" w:cs="宋体"/>
        </w:rPr>
        <w:t xml:space="preserve">  地  址：</w:t>
      </w:r>
      <w:r>
        <w:rPr>
          <w:rFonts w:hint="eastAsia" w:ascii="宋体" w:hAnsi="宋体" w:cs="宋体"/>
          <w:u w:val="single"/>
        </w:rPr>
        <w:t xml:space="preserve">        </w:t>
      </w:r>
    </w:p>
    <w:p>
      <w:pPr>
        <w:spacing w:line="360" w:lineRule="auto"/>
        <w:rPr>
          <w:rFonts w:ascii="宋体" w:hAnsi="宋体" w:cs="宋体"/>
        </w:rPr>
      </w:pPr>
      <w:r>
        <w:rPr>
          <w:rFonts w:hint="eastAsia" w:ascii="宋体" w:hAnsi="宋体" w:cs="宋体"/>
        </w:rPr>
        <w:t>邮政编码：</w:t>
      </w:r>
      <w:r>
        <w:rPr>
          <w:rFonts w:hint="eastAsia" w:ascii="宋体" w:hAnsi="宋体" w:cs="宋体"/>
          <w:u w:val="single"/>
        </w:rPr>
        <w:t xml:space="preserve">      </w:t>
      </w:r>
      <w:r>
        <w:rPr>
          <w:rFonts w:hint="eastAsia" w:ascii="宋体" w:hAnsi="宋体" w:cs="宋体"/>
        </w:rPr>
        <w:t xml:space="preserve">  邮政编码：</w:t>
      </w:r>
      <w:r>
        <w:rPr>
          <w:rFonts w:hint="eastAsia" w:ascii="宋体" w:hAnsi="宋体" w:cs="宋体"/>
          <w:u w:val="single"/>
        </w:rPr>
        <w:t xml:space="preserve">   </w:t>
      </w:r>
    </w:p>
    <w:p>
      <w:pPr>
        <w:spacing w:line="360" w:lineRule="auto"/>
        <w:rPr>
          <w:rFonts w:ascii="宋体" w:hAnsi="宋体" w:cs="宋体"/>
        </w:rPr>
      </w:pPr>
      <w:r>
        <w:rPr>
          <w:rFonts w:hint="eastAsia" w:ascii="宋体" w:hAnsi="宋体" w:cs="宋体"/>
        </w:rPr>
        <w:t>法定代表人：</w:t>
      </w:r>
      <w:r>
        <w:rPr>
          <w:rFonts w:hint="eastAsia" w:ascii="宋体" w:hAnsi="宋体" w:cs="宋体"/>
          <w:u w:val="single"/>
        </w:rPr>
        <w:t xml:space="preserve">           </w:t>
      </w:r>
      <w:r>
        <w:rPr>
          <w:rFonts w:hint="eastAsia" w:ascii="宋体" w:hAnsi="宋体" w:cs="宋体"/>
        </w:rPr>
        <w:t xml:space="preserve">  法定代表人：</w:t>
      </w:r>
      <w:r>
        <w:rPr>
          <w:rFonts w:hint="eastAsia" w:ascii="宋体" w:hAnsi="宋体" w:cs="宋体"/>
          <w:u w:val="single"/>
        </w:rPr>
        <w:t xml:space="preserve">             </w:t>
      </w:r>
    </w:p>
    <w:p>
      <w:pPr>
        <w:spacing w:line="360" w:lineRule="auto"/>
        <w:rPr>
          <w:rFonts w:ascii="宋体" w:hAnsi="宋体" w:cs="宋体"/>
        </w:rPr>
      </w:pPr>
      <w:r>
        <w:rPr>
          <w:rFonts w:hint="eastAsia" w:ascii="宋体" w:hAnsi="宋体" w:cs="宋体"/>
        </w:rPr>
        <w:t>委托代理人：</w:t>
      </w:r>
      <w:r>
        <w:rPr>
          <w:rFonts w:hint="eastAsia" w:ascii="宋体" w:hAnsi="宋体" w:cs="宋体"/>
          <w:u w:val="single"/>
        </w:rPr>
        <w:t xml:space="preserve">           </w:t>
      </w:r>
      <w:r>
        <w:rPr>
          <w:rFonts w:hint="eastAsia" w:ascii="宋体" w:hAnsi="宋体" w:cs="宋体"/>
        </w:rPr>
        <w:t xml:space="preserve">  委托代理人：</w:t>
      </w:r>
      <w:r>
        <w:rPr>
          <w:rFonts w:hint="eastAsia" w:ascii="宋体" w:hAnsi="宋体" w:cs="宋体"/>
          <w:u w:val="single"/>
        </w:rPr>
        <w:t xml:space="preserve">             </w:t>
      </w:r>
    </w:p>
    <w:p>
      <w:pPr>
        <w:spacing w:line="360" w:lineRule="auto"/>
        <w:rPr>
          <w:rFonts w:ascii="宋体" w:hAnsi="宋体" w:cs="宋体"/>
        </w:rPr>
      </w:pPr>
      <w:r>
        <w:rPr>
          <w:rFonts w:hint="eastAsia" w:ascii="宋体" w:hAnsi="宋体" w:cs="宋体"/>
        </w:rPr>
        <w:t>电  话：</w:t>
      </w:r>
      <w:r>
        <w:rPr>
          <w:rFonts w:hint="eastAsia" w:ascii="宋体" w:hAnsi="宋体" w:cs="宋体"/>
          <w:u w:val="single"/>
        </w:rPr>
        <w:t xml:space="preserve">   </w:t>
      </w:r>
      <w:r>
        <w:rPr>
          <w:rFonts w:hint="eastAsia" w:ascii="宋体" w:hAnsi="宋体" w:cs="宋体"/>
        </w:rPr>
        <w:t xml:space="preserve">  电  话：</w:t>
      </w:r>
      <w:r>
        <w:rPr>
          <w:rFonts w:hint="eastAsia" w:ascii="宋体" w:hAnsi="宋体" w:cs="宋体"/>
          <w:u w:val="single"/>
        </w:rPr>
        <w:t xml:space="preserve">     </w:t>
      </w:r>
    </w:p>
    <w:p>
      <w:pPr>
        <w:spacing w:line="360" w:lineRule="auto"/>
        <w:rPr>
          <w:rFonts w:ascii="宋体" w:hAnsi="宋体" w:cs="宋体"/>
        </w:rPr>
      </w:pPr>
      <w:r>
        <w:rPr>
          <w:rFonts w:hint="eastAsia" w:ascii="宋体" w:hAnsi="宋体" w:cs="宋体"/>
        </w:rPr>
        <w:t>传  真：</w:t>
      </w:r>
      <w:r>
        <w:rPr>
          <w:rFonts w:hint="eastAsia" w:ascii="宋体" w:hAnsi="宋体" w:cs="宋体"/>
          <w:u w:val="single"/>
        </w:rPr>
        <w:t xml:space="preserve">   </w:t>
      </w:r>
      <w:r>
        <w:rPr>
          <w:rFonts w:hint="eastAsia" w:ascii="宋体" w:hAnsi="宋体" w:cs="宋体"/>
        </w:rPr>
        <w:t xml:space="preserve">  传  真：</w:t>
      </w:r>
      <w:r>
        <w:rPr>
          <w:rFonts w:hint="eastAsia" w:ascii="宋体" w:hAnsi="宋体" w:cs="宋体"/>
          <w:u w:val="single"/>
        </w:rPr>
        <w:t xml:space="preserve">     </w:t>
      </w:r>
    </w:p>
    <w:p>
      <w:pPr>
        <w:spacing w:line="360" w:lineRule="auto"/>
        <w:rPr>
          <w:rFonts w:ascii="宋体" w:hAnsi="宋体" w:cs="宋体"/>
        </w:rPr>
      </w:pPr>
      <w:r>
        <w:rPr>
          <w:rFonts w:hint="eastAsia" w:ascii="宋体" w:hAnsi="宋体" w:cs="宋体"/>
        </w:rPr>
        <w:t>电子信箱：</w:t>
      </w:r>
      <w:r>
        <w:rPr>
          <w:rFonts w:hint="eastAsia" w:ascii="宋体" w:hAnsi="宋体" w:cs="宋体"/>
          <w:u w:val="single"/>
        </w:rPr>
        <w:t xml:space="preserve">                 </w:t>
      </w:r>
      <w:r>
        <w:rPr>
          <w:rFonts w:hint="eastAsia" w:ascii="宋体" w:hAnsi="宋体" w:cs="宋体"/>
        </w:rPr>
        <w:t xml:space="preserve">  电子信箱：</w:t>
      </w:r>
      <w:r>
        <w:rPr>
          <w:rFonts w:hint="eastAsia" w:ascii="宋体" w:hAnsi="宋体" w:cs="宋体"/>
          <w:u w:val="single"/>
        </w:rPr>
        <w:t xml:space="preserve">   </w:t>
      </w:r>
    </w:p>
    <w:p>
      <w:pPr>
        <w:spacing w:line="360" w:lineRule="auto"/>
        <w:rPr>
          <w:rFonts w:ascii="宋体" w:hAnsi="宋体" w:cs="宋体"/>
        </w:rPr>
      </w:pPr>
      <w:r>
        <w:rPr>
          <w:rFonts w:hint="eastAsia" w:ascii="宋体" w:hAnsi="宋体" w:cs="宋体"/>
        </w:rPr>
        <w:t>开户银行：</w:t>
      </w:r>
      <w:r>
        <w:rPr>
          <w:rFonts w:hint="eastAsia" w:ascii="宋体" w:hAnsi="宋体" w:cs="宋体"/>
          <w:u w:val="single"/>
        </w:rPr>
        <w:t xml:space="preserve">   </w:t>
      </w:r>
      <w:r>
        <w:rPr>
          <w:rFonts w:hint="eastAsia" w:ascii="宋体" w:hAnsi="宋体" w:cs="宋体"/>
        </w:rPr>
        <w:t xml:space="preserve">  开户银行：</w:t>
      </w:r>
      <w:r>
        <w:rPr>
          <w:rFonts w:hint="eastAsia" w:ascii="宋体" w:hAnsi="宋体" w:cs="宋体"/>
          <w:u w:val="single"/>
        </w:rPr>
        <w:t xml:space="preserve">   </w:t>
      </w:r>
    </w:p>
    <w:p>
      <w:pPr>
        <w:snapToGrid w:val="0"/>
        <w:spacing w:line="360" w:lineRule="auto"/>
        <w:rPr>
          <w:rFonts w:ascii="宋体" w:hAnsi="宋体" w:cs="宋体"/>
          <w:u w:val="single"/>
        </w:rPr>
      </w:pPr>
      <w:r>
        <w:rPr>
          <w:rFonts w:hint="eastAsia" w:ascii="宋体" w:hAnsi="宋体" w:cs="宋体"/>
        </w:rPr>
        <w:t>账  号：</w:t>
      </w:r>
      <w:r>
        <w:rPr>
          <w:rFonts w:hint="eastAsia" w:ascii="宋体" w:hAnsi="宋体" w:cs="宋体"/>
          <w:u w:val="single"/>
        </w:rPr>
        <w:t xml:space="preserve">       </w:t>
      </w:r>
      <w:r>
        <w:rPr>
          <w:rFonts w:hint="eastAsia" w:ascii="宋体" w:hAnsi="宋体" w:cs="宋体"/>
        </w:rPr>
        <w:t xml:space="preserve">   账  号：</w:t>
      </w:r>
      <w:r>
        <w:rPr>
          <w:rFonts w:hint="eastAsia" w:ascii="宋体" w:hAnsi="宋体" w:cs="宋体"/>
          <w:u w:val="single"/>
        </w:rPr>
        <w:t xml:space="preserve">    </w:t>
      </w:r>
    </w:p>
    <w:p>
      <w:pPr>
        <w:pStyle w:val="2"/>
        <w:numPr>
          <w:ilvl w:val="0"/>
          <w:numId w:val="0"/>
        </w:numPr>
        <w:ind w:left="3240"/>
        <w:jc w:val="both"/>
      </w:pPr>
    </w:p>
    <w:p>
      <w:pPr>
        <w:rPr>
          <w:rFonts w:ascii="宋体" w:hAnsi="宋体" w:cs="宋体"/>
        </w:rPr>
      </w:pPr>
      <w:r>
        <w:rPr>
          <w:rFonts w:hint="eastAsia" w:ascii="宋体" w:hAnsi="宋体" w:cs="宋体"/>
        </w:rPr>
        <w:t xml:space="preserve"> </w:t>
      </w:r>
    </w:p>
    <w:p>
      <w:pPr>
        <w:numPr>
          <w:ilvl w:val="0"/>
          <w:numId w:val="7"/>
        </w:numPr>
        <w:jc w:val="center"/>
        <w:rPr>
          <w:b/>
          <w:bCs/>
        </w:rPr>
      </w:pPr>
      <w:r>
        <w:rPr>
          <w:rFonts w:hint="eastAsia" w:ascii="宋体" w:hAnsi="宋体" w:cs="宋体"/>
          <w:b/>
          <w:bCs/>
          <w:sz w:val="24"/>
        </w:rPr>
        <w:t>合同通用条款</w:t>
      </w:r>
    </w:p>
    <w:p>
      <w:pPr>
        <w:snapToGrid w:val="0"/>
        <w:spacing w:line="360" w:lineRule="auto"/>
        <w:rPr>
          <w:rFonts w:ascii="宋体" w:hAnsi="宋体" w:cs="宋体"/>
          <w:b/>
        </w:rPr>
      </w:pPr>
      <w:r>
        <w:rPr>
          <w:rFonts w:hint="eastAsia" w:ascii="宋体" w:hAnsi="宋体" w:cs="宋体"/>
          <w:b/>
        </w:rPr>
        <w:t>见标准文本（略）</w:t>
      </w:r>
    </w:p>
    <w:p>
      <w:pPr>
        <w:pStyle w:val="4"/>
        <w:snapToGrid w:val="0"/>
        <w:spacing w:line="360" w:lineRule="auto"/>
        <w:jc w:val="center"/>
        <w:rPr>
          <w:rFonts w:ascii="宋体" w:hAnsi="宋体" w:eastAsia="宋体" w:cs="宋体"/>
          <w:sz w:val="24"/>
          <w:szCs w:val="24"/>
        </w:rPr>
      </w:pPr>
    </w:p>
    <w:p>
      <w:pPr>
        <w:pStyle w:val="4"/>
        <w:snapToGrid w:val="0"/>
        <w:spacing w:line="360" w:lineRule="auto"/>
        <w:jc w:val="center"/>
        <w:rPr>
          <w:rFonts w:ascii="宋体" w:hAnsi="宋体" w:eastAsia="宋体" w:cs="宋体"/>
          <w:b w:val="0"/>
          <w:sz w:val="24"/>
          <w:szCs w:val="24"/>
        </w:rPr>
      </w:pPr>
      <w:r>
        <w:rPr>
          <w:rFonts w:hint="eastAsia" w:ascii="宋体" w:hAnsi="宋体" w:eastAsia="宋体" w:cs="宋体"/>
          <w:sz w:val="24"/>
          <w:szCs w:val="24"/>
        </w:rPr>
        <w:t>第三部分 合同专用条款</w:t>
      </w:r>
    </w:p>
    <w:p>
      <w:pPr>
        <w:pStyle w:val="5"/>
        <w:spacing w:line="276" w:lineRule="auto"/>
        <w:rPr>
          <w:rFonts w:ascii="宋体" w:hAnsi="宋体" w:cs="宋体"/>
          <w:b w:val="0"/>
          <w:sz w:val="24"/>
          <w:szCs w:val="24"/>
        </w:rPr>
      </w:pPr>
      <w:r>
        <w:rPr>
          <w:rFonts w:hint="eastAsia" w:ascii="宋体" w:hAnsi="宋体" w:cs="宋体"/>
          <w:b w:val="0"/>
          <w:sz w:val="24"/>
          <w:szCs w:val="24"/>
        </w:rPr>
        <w:t>1. 一般约定</w:t>
      </w:r>
    </w:p>
    <w:p>
      <w:pPr>
        <w:spacing w:after="120" w:line="276" w:lineRule="auto"/>
        <w:ind w:firstLine="420" w:firstLineChars="200"/>
        <w:rPr>
          <w:rFonts w:ascii="宋体" w:hAnsi="宋体" w:cs="宋体"/>
        </w:rPr>
      </w:pPr>
      <w:r>
        <w:rPr>
          <w:rFonts w:hint="eastAsia" w:ascii="宋体" w:hAnsi="宋体" w:cs="宋体"/>
        </w:rPr>
        <w:t>1.1 词语定义</w:t>
      </w:r>
    </w:p>
    <w:p>
      <w:pPr>
        <w:spacing w:line="276" w:lineRule="auto"/>
        <w:ind w:firstLine="420" w:firstLineChars="200"/>
        <w:rPr>
          <w:rFonts w:ascii="宋体" w:hAnsi="宋体" w:cs="宋体"/>
        </w:rPr>
      </w:pPr>
      <w:r>
        <w:rPr>
          <w:rFonts w:hint="eastAsia" w:ascii="宋体" w:hAnsi="宋体" w:cs="宋体"/>
        </w:rPr>
        <w:t>1.1.1合同</w:t>
      </w:r>
    </w:p>
    <w:p>
      <w:pPr>
        <w:spacing w:line="276" w:lineRule="auto"/>
        <w:ind w:left="420" w:leftChars="200"/>
        <w:rPr>
          <w:rFonts w:ascii="宋体" w:hAnsi="宋体" w:cs="宋体"/>
        </w:rPr>
      </w:pPr>
      <w:r>
        <w:rPr>
          <w:rFonts w:hint="eastAsia" w:ascii="宋体" w:hAnsi="宋体" w:cs="宋体"/>
        </w:rPr>
        <w:t>1.1.1.10其他合同文件包括：</w:t>
      </w:r>
      <w:r>
        <w:rPr>
          <w:rFonts w:hint="eastAsia" w:ascii="宋体" w:hAnsi="宋体" w:cs="宋体"/>
          <w:b/>
          <w:u w:val="single"/>
        </w:rPr>
        <w:t xml:space="preserve">招标文件（含澄清和修改文件）、投标文件（含澄清文件）、中标通知书、已标价的工程量清单（预算书）、相关技术规范以及其他的文件规范标准。履行合同过程中双方负责人（或双方工地代表人）书面确认的对合同内容有实质性影响的会议纪要、签证、设计变更等资料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1.1.2 合同当事人及其他相关方</w:t>
      </w:r>
    </w:p>
    <w:p>
      <w:pPr>
        <w:spacing w:line="276" w:lineRule="auto"/>
        <w:ind w:firstLine="420" w:firstLineChars="200"/>
        <w:rPr>
          <w:rFonts w:ascii="宋体" w:hAnsi="宋体" w:cs="宋体"/>
        </w:rPr>
      </w:pPr>
      <w:r>
        <w:rPr>
          <w:rFonts w:hint="eastAsia" w:ascii="宋体" w:hAnsi="宋体" w:cs="宋体"/>
        </w:rPr>
        <w:t>1.1.2.4监理人：</w:t>
      </w:r>
    </w:p>
    <w:p>
      <w:pPr>
        <w:spacing w:line="276" w:lineRule="auto"/>
        <w:ind w:firstLine="420" w:firstLineChars="200"/>
        <w:rPr>
          <w:rFonts w:ascii="宋体" w:hAnsi="宋体" w:cs="宋体"/>
        </w:rPr>
      </w:pPr>
      <w:r>
        <w:rPr>
          <w:rFonts w:hint="eastAsia" w:ascii="宋体" w:hAnsi="宋体" w:cs="宋体"/>
        </w:rPr>
        <w:t>名    称：</w:t>
      </w:r>
      <w:r>
        <w:rPr>
          <w:rFonts w:hint="eastAsia" w:ascii="宋体" w:hAnsi="宋体" w:cs="宋体"/>
          <w:u w:val="single"/>
        </w:rPr>
        <w:t xml:space="preserve">   /        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资质类别和等级：</w:t>
      </w:r>
      <w:r>
        <w:rPr>
          <w:rFonts w:hint="eastAsia" w:ascii="宋体" w:hAnsi="宋体" w:cs="宋体"/>
          <w:u w:val="single"/>
        </w:rPr>
        <w:t>/            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联系电话：</w:t>
      </w:r>
      <w:r>
        <w:rPr>
          <w:rFonts w:hint="eastAsia" w:ascii="宋体" w:hAnsi="宋体" w:cs="宋体"/>
          <w:u w:val="single"/>
        </w:rPr>
        <w:t xml:space="preserve">    /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电子信箱：</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通信地址：</w:t>
      </w:r>
      <w:r>
        <w:rPr>
          <w:rFonts w:hint="eastAsia" w:ascii="宋体" w:hAnsi="宋体" w:cs="宋体"/>
          <w:u w:val="single"/>
        </w:rPr>
        <w:t xml:space="preserve">    /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1.1.2.5 设计人：</w:t>
      </w:r>
    </w:p>
    <w:p>
      <w:pPr>
        <w:spacing w:line="276" w:lineRule="auto"/>
        <w:ind w:firstLine="420" w:firstLineChars="200"/>
        <w:rPr>
          <w:rFonts w:ascii="宋体" w:hAnsi="宋体" w:cs="宋体"/>
        </w:rPr>
      </w:pPr>
      <w:r>
        <w:rPr>
          <w:rFonts w:hint="eastAsia" w:ascii="宋体" w:hAnsi="宋体" w:cs="宋体"/>
        </w:rPr>
        <w:t>名    称：</w:t>
      </w:r>
      <w:r>
        <w:rPr>
          <w:rFonts w:hint="eastAsia" w:ascii="宋体" w:hAnsi="宋体" w:cs="宋体"/>
          <w:u w:val="single"/>
        </w:rPr>
        <w:t xml:space="preserve">      安徽省电子工业设计有限公司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资质类别和等级：</w:t>
      </w:r>
      <w:r>
        <w:rPr>
          <w:rFonts w:hint="eastAsia" w:ascii="宋体" w:hAnsi="宋体" w:cs="宋体"/>
          <w:u w:val="single"/>
        </w:rPr>
        <w:t xml:space="preserve">           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联系电话：</w:t>
      </w:r>
      <w:r>
        <w:rPr>
          <w:rFonts w:hint="eastAsia" w:ascii="宋体" w:hAnsi="宋体" w:cs="宋体"/>
          <w:u w:val="single"/>
        </w:rPr>
        <w:t xml:space="preserve">    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电子信箱：</w:t>
      </w:r>
      <w:r>
        <w:rPr>
          <w:rFonts w:hint="eastAsia" w:ascii="宋体" w:hAnsi="宋体" w:cs="宋体"/>
          <w:u w:val="single"/>
        </w:rPr>
        <w:t xml:space="preserve">    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通信地址：</w:t>
      </w:r>
      <w:r>
        <w:rPr>
          <w:rFonts w:hint="eastAsia" w:ascii="宋体" w:hAnsi="宋体" w:cs="宋体"/>
          <w:u w:val="single"/>
        </w:rPr>
        <w:t>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1.1.3 工程和设备</w:t>
      </w:r>
    </w:p>
    <w:p>
      <w:pPr>
        <w:spacing w:line="276" w:lineRule="auto"/>
        <w:ind w:firstLine="420" w:firstLineChars="200"/>
        <w:rPr>
          <w:rFonts w:ascii="宋体" w:hAnsi="宋体" w:cs="宋体"/>
          <w:b/>
        </w:rPr>
      </w:pPr>
      <w:r>
        <w:rPr>
          <w:rFonts w:hint="eastAsia" w:ascii="宋体" w:hAnsi="宋体" w:cs="宋体"/>
        </w:rPr>
        <w:t>1.1.3.7 作为施工现场组成部分的其他场所包括：</w:t>
      </w:r>
      <w:r>
        <w:rPr>
          <w:rFonts w:hint="eastAsia" w:ascii="宋体" w:hAnsi="宋体" w:cs="宋体"/>
          <w:b/>
          <w:u w:val="single"/>
        </w:rPr>
        <w:t>符合通用条款规定的发包方提供的施工场地</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1.1.3.9 永久占地包括：</w:t>
      </w:r>
      <w:r>
        <w:rPr>
          <w:rFonts w:hint="eastAsia" w:ascii="宋体" w:hAnsi="宋体" w:cs="宋体"/>
          <w:b/>
          <w:u w:val="single"/>
        </w:rPr>
        <w:t xml:space="preserve">  / </w:t>
      </w:r>
      <w:r>
        <w:rPr>
          <w:rFonts w:hint="eastAsia" w:ascii="宋体" w:hAnsi="宋体" w:cs="宋体"/>
          <w:b/>
        </w:rPr>
        <w:t xml:space="preserve"> 。</w:t>
      </w:r>
    </w:p>
    <w:p>
      <w:pPr>
        <w:spacing w:line="276" w:lineRule="auto"/>
        <w:ind w:firstLine="420" w:firstLineChars="200"/>
        <w:rPr>
          <w:rFonts w:ascii="宋体" w:hAnsi="宋体" w:cs="宋体"/>
        </w:rPr>
      </w:pPr>
      <w:r>
        <w:rPr>
          <w:rFonts w:hint="eastAsia" w:ascii="宋体" w:hAnsi="宋体" w:cs="宋体"/>
        </w:rPr>
        <w:t>1.1.3.10 临时占地包括：</w:t>
      </w:r>
      <w:r>
        <w:rPr>
          <w:rFonts w:hint="eastAsia" w:ascii="宋体" w:hAnsi="宋体" w:cs="宋体"/>
          <w:b/>
          <w:u w:val="single"/>
        </w:rPr>
        <w:t xml:space="preserve"> 六安世立医院院内发包人指定区域  </w:t>
      </w:r>
      <w:r>
        <w:rPr>
          <w:rFonts w:hint="eastAsia" w:ascii="宋体" w:hAnsi="宋体" w:cs="宋体"/>
        </w:rPr>
        <w:t>。</w:t>
      </w:r>
    </w:p>
    <w:p>
      <w:pPr>
        <w:spacing w:line="276" w:lineRule="auto"/>
        <w:ind w:firstLine="420" w:firstLineChars="200"/>
        <w:rPr>
          <w:rFonts w:ascii="宋体" w:hAnsi="宋体" w:cs="宋体"/>
          <w:u w:val="single"/>
        </w:rPr>
      </w:pPr>
      <w:r>
        <w:rPr>
          <w:rFonts w:hint="eastAsia" w:ascii="宋体" w:hAnsi="宋体" w:cs="宋体"/>
        </w:rPr>
        <w:t>1.1.3.11 专业分包工程：</w:t>
      </w:r>
      <w:r>
        <w:rPr>
          <w:rFonts w:hint="eastAsia" w:ascii="宋体" w:hAnsi="宋体" w:cs="宋体"/>
          <w:u w:val="single"/>
        </w:rPr>
        <w:t xml:space="preserve">  </w:t>
      </w:r>
      <w:r>
        <w:rPr>
          <w:rFonts w:hint="eastAsia" w:ascii="宋体" w:hAnsi="宋体" w:cs="宋体"/>
          <w:b/>
          <w:u w:val="single"/>
        </w:rPr>
        <w:t xml:space="preserve">/ </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1.1.3.12 甲供材料、设备采购：</w:t>
      </w:r>
      <w:r>
        <w:rPr>
          <w:rFonts w:hint="eastAsia" w:ascii="宋体" w:hAnsi="宋体" w:cs="宋体"/>
          <w:b/>
          <w:u w:val="single"/>
        </w:rPr>
        <w:t>指招标文件列明的或发包人另行通知的由发包人直接采购并供给承包人负责安装施工的材料和设备采购</w:t>
      </w:r>
      <w:r>
        <w:rPr>
          <w:rFonts w:hint="eastAsia" w:ascii="宋体" w:hAnsi="宋体" w:cs="宋体"/>
          <w:b/>
        </w:rPr>
        <w:t>。</w:t>
      </w:r>
    </w:p>
    <w:p>
      <w:pPr>
        <w:spacing w:line="276" w:lineRule="auto"/>
        <w:ind w:firstLine="420" w:firstLineChars="200"/>
        <w:rPr>
          <w:rFonts w:ascii="宋体" w:hAnsi="宋体" w:cs="宋体"/>
          <w:b/>
          <w:u w:val="single"/>
        </w:rPr>
      </w:pPr>
      <w:r>
        <w:rPr>
          <w:rFonts w:hint="eastAsia" w:ascii="宋体" w:hAnsi="宋体" w:cs="宋体"/>
        </w:rPr>
        <w:t>1.1.3.13 二次精装修部分：</w:t>
      </w:r>
      <w:r>
        <w:rPr>
          <w:rFonts w:hint="eastAsia" w:ascii="宋体" w:hAnsi="宋体" w:cs="宋体"/>
          <w:u w:val="single"/>
        </w:rPr>
        <w:t xml:space="preserve">  </w:t>
      </w:r>
      <w:r>
        <w:rPr>
          <w:rFonts w:hint="eastAsia" w:ascii="宋体" w:hAnsi="宋体" w:cs="宋体"/>
          <w:b/>
          <w:u w:val="single"/>
        </w:rPr>
        <w:t xml:space="preserve">/  </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1.1.4 日期和期限</w:t>
      </w:r>
    </w:p>
    <w:p>
      <w:pPr>
        <w:spacing w:line="276" w:lineRule="auto"/>
        <w:ind w:firstLine="420" w:firstLineChars="200"/>
        <w:rPr>
          <w:rFonts w:ascii="宋体" w:hAnsi="宋体" w:cs="宋体"/>
          <w:b/>
        </w:rPr>
      </w:pPr>
      <w:r>
        <w:rPr>
          <w:rFonts w:hint="eastAsia" w:ascii="宋体" w:hAnsi="宋体" w:cs="宋体"/>
        </w:rPr>
        <w:t>1.1.4.8 工作日：</w:t>
      </w:r>
      <w:r>
        <w:rPr>
          <w:rFonts w:hint="eastAsia" w:ascii="宋体" w:hAnsi="宋体" w:cs="宋体"/>
          <w:b/>
          <w:u w:val="single"/>
        </w:rPr>
        <w:t>不计休息日和法定节假日</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1.1.5 合同价格和费用</w:t>
      </w:r>
    </w:p>
    <w:p>
      <w:pPr>
        <w:pStyle w:val="12"/>
        <w:snapToGrid w:val="0"/>
        <w:spacing w:line="276" w:lineRule="auto"/>
        <w:ind w:firstLine="480" w:firstLineChars="200"/>
        <w:rPr>
          <w:rFonts w:hAnsi="宋体" w:cs="宋体"/>
          <w:color w:val="FF0000"/>
          <w:sz w:val="24"/>
          <w:szCs w:val="24"/>
        </w:rPr>
      </w:pPr>
      <w:r>
        <w:rPr>
          <w:rFonts w:hint="eastAsia" w:hAnsi="宋体" w:cs="宋体"/>
          <w:sz w:val="24"/>
          <w:szCs w:val="24"/>
        </w:rPr>
        <w:t>1.1.5.9 结算造价：</w:t>
      </w:r>
      <w:r>
        <w:rPr>
          <w:rFonts w:hint="eastAsia" w:hAnsi="宋体" w:cs="宋体"/>
          <w:b/>
          <w:sz w:val="24"/>
          <w:szCs w:val="24"/>
          <w:u w:val="single"/>
        </w:rPr>
        <w:t>指工程通过竣工验收后，发包人委托的审计单位按照本合同的各项约定对承包人提交的竣工结算报告及结算资料进行审核后发包人确定的，原则上是发包人和承包人双方都认可的工程最终造价。</w:t>
      </w:r>
      <w:r>
        <w:rPr>
          <w:rFonts w:hint="eastAsia" w:hAnsi="宋体" w:cs="宋体"/>
          <w:b/>
          <w:color w:val="FF0000"/>
          <w:sz w:val="24"/>
          <w:szCs w:val="24"/>
          <w:u w:val="single"/>
        </w:rPr>
        <w:t>最终结算价=合同价+工程量清单未包括项目-未施工部分的造价</w:t>
      </w:r>
      <w:r>
        <w:rPr>
          <w:rFonts w:hint="eastAsia" w:hAnsi="宋体" w:cs="宋体"/>
          <w:b/>
          <w:color w:val="FF0000"/>
          <w:sz w:val="24"/>
          <w:szCs w:val="24"/>
        </w:rPr>
        <w:t>。</w:t>
      </w:r>
    </w:p>
    <w:p>
      <w:pPr>
        <w:spacing w:after="120" w:line="276" w:lineRule="auto"/>
        <w:ind w:firstLine="420" w:firstLineChars="200"/>
        <w:rPr>
          <w:rFonts w:ascii="宋体" w:hAnsi="宋体" w:cs="宋体"/>
        </w:rPr>
      </w:pPr>
      <w:r>
        <w:rPr>
          <w:rFonts w:hint="eastAsia" w:ascii="宋体" w:hAnsi="宋体" w:cs="宋体"/>
        </w:rPr>
        <w:t xml:space="preserve">1.3法律 </w:t>
      </w:r>
    </w:p>
    <w:p>
      <w:pPr>
        <w:autoSpaceDE w:val="0"/>
        <w:autoSpaceDN w:val="0"/>
        <w:adjustRightInd w:val="0"/>
        <w:spacing w:line="276" w:lineRule="auto"/>
        <w:ind w:firstLine="315" w:firstLineChars="150"/>
        <w:rPr>
          <w:rFonts w:ascii="宋体" w:hAnsi="宋体" w:cs="宋体"/>
          <w:b/>
        </w:rPr>
      </w:pPr>
      <w:r>
        <w:rPr>
          <w:rFonts w:hint="eastAsia" w:ascii="宋体" w:hAnsi="宋体" w:cs="宋体"/>
        </w:rPr>
        <w:t>适用于合同的其他规范性文件：</w:t>
      </w:r>
      <w:r>
        <w:rPr>
          <w:rFonts w:hint="eastAsia" w:ascii="宋体" w:hAnsi="宋体" w:cs="宋体"/>
          <w:b/>
          <w:u w:val="single"/>
        </w:rPr>
        <w:t>中华人民共和国国家法律、行政法规、部门规章和安徽省、地方政府规章、政府主管部门公开发布的各种规范性文件 。</w:t>
      </w:r>
    </w:p>
    <w:p>
      <w:pPr>
        <w:spacing w:after="120" w:line="276" w:lineRule="auto"/>
        <w:ind w:firstLine="420" w:firstLineChars="200"/>
        <w:rPr>
          <w:rFonts w:ascii="宋体" w:hAnsi="宋体" w:cs="宋体"/>
        </w:rPr>
      </w:pPr>
      <w:r>
        <w:rPr>
          <w:rFonts w:hint="eastAsia" w:ascii="宋体" w:hAnsi="宋体" w:cs="宋体"/>
        </w:rPr>
        <w:t>1.4 标准和规范</w:t>
      </w:r>
    </w:p>
    <w:p>
      <w:pPr>
        <w:spacing w:line="276" w:lineRule="auto"/>
        <w:ind w:firstLine="420" w:firstLineChars="200"/>
        <w:rPr>
          <w:rFonts w:ascii="宋体" w:hAnsi="宋体" w:cs="宋体"/>
        </w:rPr>
      </w:pPr>
      <w:r>
        <w:rPr>
          <w:rFonts w:hint="eastAsia" w:ascii="宋体" w:hAnsi="宋体" w:cs="宋体"/>
        </w:rPr>
        <w:t>1.4.1适用于工程的标准规范包括：</w:t>
      </w:r>
      <w:r>
        <w:rPr>
          <w:rFonts w:hint="eastAsia" w:ascii="宋体" w:hAnsi="宋体" w:cs="宋体"/>
          <w:b/>
          <w:u w:val="single"/>
        </w:rPr>
        <w:t>中华人民共和国、安徽省、六安市以及行业主管部门颁布的现行的各种规范性文件和强制性标准。当对同一问题国家、地方和行业颁布的标准、规范产生不一致时，以严格者为准。</w:t>
      </w:r>
    </w:p>
    <w:p>
      <w:pPr>
        <w:spacing w:line="276" w:lineRule="auto"/>
        <w:ind w:firstLine="420" w:firstLineChars="200"/>
        <w:rPr>
          <w:rFonts w:ascii="宋体" w:hAnsi="宋体" w:cs="宋体"/>
        </w:rPr>
      </w:pPr>
      <w:r>
        <w:rPr>
          <w:rFonts w:hint="eastAsia" w:ascii="宋体" w:hAnsi="宋体" w:cs="宋体"/>
        </w:rPr>
        <w:t>1.4.2 发包人提供国外标准、规范的名称：</w:t>
      </w:r>
      <w:r>
        <w:rPr>
          <w:rFonts w:hint="eastAsia" w:ascii="宋体" w:hAnsi="宋体" w:cs="宋体"/>
          <w:u w:val="single"/>
        </w:rPr>
        <w:t xml:space="preserve"> </w:t>
      </w:r>
      <w:r>
        <w:rPr>
          <w:rFonts w:hint="eastAsia" w:ascii="宋体" w:hAnsi="宋体" w:cs="宋体"/>
          <w:b/>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发包人提供国外标准、规范的份数：</w:t>
      </w:r>
      <w:r>
        <w:rPr>
          <w:rFonts w:hint="eastAsia" w:ascii="宋体" w:hAnsi="宋体" w:cs="宋体"/>
          <w:b/>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发包人提供国外标准、规范的名称：</w:t>
      </w:r>
      <w:r>
        <w:rPr>
          <w:rFonts w:hint="eastAsia" w:ascii="宋体" w:hAnsi="宋体" w:cs="宋体"/>
          <w:b/>
          <w:u w:val="single"/>
        </w:rPr>
        <w:t xml:space="preserve"> / </w:t>
      </w:r>
      <w:r>
        <w:rPr>
          <w:rFonts w:hint="eastAsia" w:ascii="宋体" w:hAnsi="宋体" w:cs="宋体"/>
        </w:rPr>
        <w:t>。</w:t>
      </w:r>
    </w:p>
    <w:p>
      <w:pPr>
        <w:spacing w:line="276" w:lineRule="auto"/>
        <w:ind w:firstLine="420" w:firstLineChars="200"/>
        <w:rPr>
          <w:rFonts w:ascii="宋体" w:hAnsi="宋体" w:cs="宋体"/>
          <w:b/>
          <w:u w:val="single"/>
        </w:rPr>
      </w:pPr>
      <w:r>
        <w:rPr>
          <w:rFonts w:hint="eastAsia" w:ascii="宋体" w:hAnsi="宋体" w:cs="宋体"/>
        </w:rPr>
        <w:t>1.4.3发包人对工程的技术标准和功能要求的特殊要求：</w:t>
      </w:r>
      <w:r>
        <w:rPr>
          <w:rFonts w:hint="eastAsia" w:ascii="宋体" w:hAnsi="宋体" w:cs="宋体"/>
          <w:b/>
          <w:u w:val="single"/>
        </w:rPr>
        <w:t>当国内没有相应标准、规范时，承包人应按发包人的时间要求和技术要求提出施工工艺，经发包人组织有关专家论证认可后执行。</w:t>
      </w:r>
    </w:p>
    <w:p>
      <w:pPr>
        <w:spacing w:after="120" w:line="276" w:lineRule="auto"/>
        <w:ind w:firstLine="420" w:firstLineChars="200"/>
        <w:rPr>
          <w:rFonts w:ascii="宋体" w:hAnsi="宋体" w:cs="宋体"/>
        </w:rPr>
      </w:pPr>
      <w:r>
        <w:rPr>
          <w:rFonts w:hint="eastAsia" w:ascii="宋体" w:hAnsi="宋体" w:cs="宋体"/>
        </w:rPr>
        <w:t>1.5 合同文件的优先顺序</w:t>
      </w:r>
    </w:p>
    <w:p>
      <w:pPr>
        <w:spacing w:line="276" w:lineRule="auto"/>
        <w:ind w:firstLine="420" w:firstLineChars="200"/>
        <w:rPr>
          <w:rFonts w:ascii="宋体" w:hAnsi="宋体" w:cs="宋体"/>
          <w:b/>
          <w:u w:val="single"/>
        </w:rPr>
      </w:pPr>
      <w:r>
        <w:rPr>
          <w:rFonts w:hint="eastAsia" w:ascii="宋体" w:hAnsi="宋体" w:cs="宋体"/>
        </w:rPr>
        <w:t>合同文件组成及优先顺序为：</w:t>
      </w:r>
      <w:r>
        <w:rPr>
          <w:rFonts w:hint="eastAsia" w:ascii="宋体" w:hAnsi="宋体" w:cs="宋体"/>
          <w:b/>
          <w:u w:val="single"/>
        </w:rPr>
        <w:fldChar w:fldCharType="begin"/>
      </w:r>
      <w:r>
        <w:rPr>
          <w:rFonts w:hint="eastAsia" w:ascii="宋体" w:hAnsi="宋体" w:cs="宋体"/>
          <w:b/>
          <w:u w:val="single"/>
        </w:rPr>
        <w:instrText xml:space="preserve"> = 1 \* GB2 </w:instrText>
      </w:r>
      <w:r>
        <w:rPr>
          <w:rFonts w:hint="eastAsia" w:ascii="宋体" w:hAnsi="宋体" w:cs="宋体"/>
          <w:b/>
          <w:u w:val="single"/>
        </w:rPr>
        <w:fldChar w:fldCharType="separate"/>
      </w:r>
      <w:r>
        <w:rPr>
          <w:rFonts w:hint="eastAsia" w:ascii="宋体" w:hAnsi="宋体" w:cs="宋体"/>
          <w:b/>
          <w:u w:val="single"/>
        </w:rPr>
        <w:t>⑴</w:t>
      </w:r>
      <w:r>
        <w:rPr>
          <w:rFonts w:hint="eastAsia" w:ascii="宋体" w:hAnsi="宋体" w:cs="宋体"/>
          <w:b/>
          <w:u w:val="single"/>
        </w:rPr>
        <w:fldChar w:fldCharType="end"/>
      </w:r>
      <w:r>
        <w:rPr>
          <w:rFonts w:hint="eastAsia" w:ascii="宋体" w:hAnsi="宋体" w:cs="宋体"/>
          <w:b/>
          <w:u w:val="single"/>
        </w:rPr>
        <w:t>合同协议书</w:t>
      </w:r>
      <w:r>
        <w:rPr>
          <w:rFonts w:hint="eastAsia" w:ascii="宋体" w:hAnsi="宋体" w:cs="宋体"/>
          <w:b/>
          <w:u w:val="single"/>
        </w:rPr>
        <w:fldChar w:fldCharType="begin"/>
      </w:r>
      <w:r>
        <w:rPr>
          <w:rFonts w:hint="eastAsia" w:ascii="宋体" w:hAnsi="宋体" w:cs="宋体"/>
          <w:b/>
          <w:u w:val="single"/>
        </w:rPr>
        <w:instrText xml:space="preserve"> = 2 \* GB2 </w:instrText>
      </w:r>
      <w:r>
        <w:rPr>
          <w:rFonts w:hint="eastAsia" w:ascii="宋体" w:hAnsi="宋体" w:cs="宋体"/>
          <w:b/>
          <w:u w:val="single"/>
        </w:rPr>
        <w:fldChar w:fldCharType="separate"/>
      </w:r>
      <w:r>
        <w:rPr>
          <w:rFonts w:hint="eastAsia" w:ascii="宋体" w:hAnsi="宋体" w:cs="宋体"/>
          <w:b/>
          <w:u w:val="single"/>
        </w:rPr>
        <w:t>⑵</w:t>
      </w:r>
      <w:r>
        <w:rPr>
          <w:rFonts w:hint="eastAsia" w:ascii="宋体" w:hAnsi="宋体" w:cs="宋体"/>
          <w:b/>
          <w:u w:val="single"/>
        </w:rPr>
        <w:fldChar w:fldCharType="end"/>
      </w:r>
      <w:r>
        <w:rPr>
          <w:rFonts w:hint="eastAsia" w:ascii="宋体" w:hAnsi="宋体" w:cs="宋体"/>
          <w:b/>
          <w:u w:val="single"/>
        </w:rPr>
        <w:t>中标通知书</w:t>
      </w:r>
      <w:r>
        <w:rPr>
          <w:rFonts w:hint="eastAsia" w:ascii="宋体" w:hAnsi="宋体" w:cs="宋体"/>
          <w:b/>
          <w:u w:val="single"/>
        </w:rPr>
        <w:fldChar w:fldCharType="begin"/>
      </w:r>
      <w:r>
        <w:rPr>
          <w:rFonts w:hint="eastAsia" w:ascii="宋体" w:hAnsi="宋体" w:cs="宋体"/>
          <w:b/>
          <w:u w:val="single"/>
        </w:rPr>
        <w:instrText xml:space="preserve"> = 3 \* GB2 </w:instrText>
      </w:r>
      <w:r>
        <w:rPr>
          <w:rFonts w:hint="eastAsia" w:ascii="宋体" w:hAnsi="宋体" w:cs="宋体"/>
          <w:b/>
          <w:u w:val="single"/>
        </w:rPr>
        <w:fldChar w:fldCharType="separate"/>
      </w:r>
      <w:r>
        <w:rPr>
          <w:rFonts w:hint="eastAsia" w:ascii="宋体" w:hAnsi="宋体" w:cs="宋体"/>
          <w:b/>
          <w:u w:val="single"/>
        </w:rPr>
        <w:t>⑶</w:t>
      </w:r>
      <w:r>
        <w:rPr>
          <w:rFonts w:hint="eastAsia" w:ascii="宋体" w:hAnsi="宋体" w:cs="宋体"/>
          <w:b/>
          <w:u w:val="single"/>
        </w:rPr>
        <w:fldChar w:fldCharType="end"/>
      </w:r>
      <w:r>
        <w:rPr>
          <w:rFonts w:hint="eastAsia" w:ascii="宋体" w:hAnsi="宋体" w:cs="宋体"/>
          <w:b/>
          <w:u w:val="single"/>
        </w:rPr>
        <w:t>专用合同条款及其附件</w:t>
      </w:r>
      <w:r>
        <w:rPr>
          <w:rFonts w:hint="eastAsia" w:ascii="宋体" w:hAnsi="宋体" w:cs="宋体"/>
          <w:b/>
          <w:u w:val="single"/>
        </w:rPr>
        <w:fldChar w:fldCharType="begin"/>
      </w:r>
      <w:r>
        <w:rPr>
          <w:rFonts w:hint="eastAsia" w:ascii="宋体" w:hAnsi="宋体" w:cs="宋体"/>
          <w:b/>
          <w:u w:val="single"/>
        </w:rPr>
        <w:instrText xml:space="preserve"> = 4 \* GB2 </w:instrText>
      </w:r>
      <w:r>
        <w:rPr>
          <w:rFonts w:hint="eastAsia" w:ascii="宋体" w:hAnsi="宋体" w:cs="宋体"/>
          <w:b/>
          <w:u w:val="single"/>
        </w:rPr>
        <w:fldChar w:fldCharType="separate"/>
      </w:r>
      <w:r>
        <w:rPr>
          <w:rFonts w:hint="eastAsia" w:ascii="宋体" w:hAnsi="宋体" w:cs="宋体"/>
          <w:b/>
          <w:u w:val="single"/>
        </w:rPr>
        <w:t>⑷</w:t>
      </w:r>
      <w:r>
        <w:rPr>
          <w:rFonts w:hint="eastAsia" w:ascii="宋体" w:hAnsi="宋体" w:cs="宋体"/>
          <w:b/>
          <w:u w:val="single"/>
        </w:rPr>
        <w:fldChar w:fldCharType="end"/>
      </w:r>
      <w:r>
        <w:rPr>
          <w:rFonts w:hint="eastAsia" w:ascii="宋体" w:hAnsi="宋体" w:cs="宋体"/>
          <w:b/>
          <w:u w:val="single"/>
        </w:rPr>
        <w:t>招标文件（不包括招标文件中所附合同条款）及答疑文件、澄清文件（如有）（5）图纸及工程量清单（6）承包人承诺投标函及其附录（7）已标价工程量清单或预算书（8）通用合同条款（9）技术标准和要求（10）经监理工程师、发包人代表批准的施工组织设计（序号小的有优先解释权）</w:t>
      </w:r>
    </w:p>
    <w:p>
      <w:pPr>
        <w:spacing w:line="276" w:lineRule="auto"/>
        <w:ind w:firstLine="422" w:firstLineChars="200"/>
        <w:rPr>
          <w:rFonts w:ascii="宋体" w:hAnsi="宋体" w:cs="宋体"/>
        </w:rPr>
      </w:pPr>
      <w:r>
        <w:rPr>
          <w:rFonts w:hint="eastAsia" w:ascii="宋体" w:hAnsi="宋体" w:cs="宋体"/>
          <w:b/>
          <w:u w:val="single"/>
        </w:rPr>
        <w:t>合同履行过程中双方就有关工程洽商、变更达成的书面协议或文件，属于同一类内容的文件，以最新签署的为准。</w:t>
      </w:r>
    </w:p>
    <w:p>
      <w:pPr>
        <w:spacing w:after="120" w:line="276" w:lineRule="auto"/>
        <w:ind w:firstLine="420" w:firstLineChars="200"/>
        <w:rPr>
          <w:rFonts w:ascii="宋体" w:hAnsi="宋体" w:cs="宋体"/>
        </w:rPr>
      </w:pPr>
      <w:r>
        <w:rPr>
          <w:rFonts w:hint="eastAsia" w:ascii="宋体" w:hAnsi="宋体" w:cs="宋体"/>
        </w:rPr>
        <w:t>1.6 图纸和承包人文件</w:t>
      </w:r>
    </w:p>
    <w:p>
      <w:pPr>
        <w:spacing w:line="276" w:lineRule="auto"/>
        <w:ind w:firstLine="420" w:firstLineChars="200"/>
        <w:rPr>
          <w:rFonts w:ascii="宋体" w:hAnsi="宋体" w:cs="宋体"/>
        </w:rPr>
      </w:pPr>
      <w:r>
        <w:rPr>
          <w:rFonts w:hint="eastAsia" w:ascii="宋体" w:hAnsi="宋体" w:cs="宋体"/>
        </w:rPr>
        <w:t>1.6.1 图纸的提供</w:t>
      </w:r>
    </w:p>
    <w:p>
      <w:pPr>
        <w:spacing w:line="276" w:lineRule="auto"/>
        <w:ind w:firstLine="420" w:firstLineChars="200"/>
        <w:rPr>
          <w:rFonts w:ascii="宋体" w:hAnsi="宋体" w:cs="宋体"/>
          <w:b/>
          <w:u w:val="single"/>
        </w:rPr>
      </w:pPr>
      <w:r>
        <w:rPr>
          <w:rFonts w:hint="eastAsia" w:ascii="宋体" w:hAnsi="宋体" w:cs="宋体"/>
        </w:rPr>
        <w:t>发包人向承包人提供图纸的期限：</w:t>
      </w:r>
      <w:r>
        <w:rPr>
          <w:rFonts w:hint="eastAsia" w:ascii="宋体" w:hAnsi="宋体" w:cs="宋体"/>
          <w:b/>
          <w:u w:val="single"/>
        </w:rPr>
        <w:t>发包人在工程开工前7天内提供</w:t>
      </w:r>
      <w:r>
        <w:rPr>
          <w:rFonts w:hint="eastAsia" w:ascii="宋体" w:hAnsi="宋体" w:cs="宋体"/>
          <w:b/>
        </w:rPr>
        <w:t>。</w:t>
      </w:r>
    </w:p>
    <w:p>
      <w:pPr>
        <w:spacing w:line="276" w:lineRule="auto"/>
        <w:ind w:firstLine="420" w:firstLineChars="200"/>
        <w:rPr>
          <w:rFonts w:ascii="宋体" w:hAnsi="宋体" w:cs="宋体"/>
          <w:b/>
          <w:u w:val="single"/>
        </w:rPr>
      </w:pPr>
      <w:r>
        <w:rPr>
          <w:rFonts w:hint="eastAsia" w:ascii="宋体" w:hAnsi="宋体" w:cs="宋体"/>
        </w:rPr>
        <w:t>发包人向承包人提供图纸的数量：</w:t>
      </w:r>
      <w:r>
        <w:rPr>
          <w:rFonts w:hint="eastAsia" w:ascii="宋体" w:hAnsi="宋体" w:cs="宋体"/>
          <w:b/>
          <w:u w:val="single"/>
        </w:rPr>
        <w:t>满足本项目施工所需施工图纸3套。如承包人需要增加图纸份数，由承包人自行复制和晒图，费用由承包人承担</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发包人向承包人提供图纸的内容：</w:t>
      </w:r>
      <w:r>
        <w:rPr>
          <w:rFonts w:hint="eastAsia" w:ascii="宋体" w:hAnsi="宋体" w:cs="宋体"/>
          <w:b/>
          <w:u w:val="single"/>
        </w:rPr>
        <w:t>承包人承包范围内的各专业图纸</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1.6.4 承包人文件</w:t>
      </w:r>
    </w:p>
    <w:p>
      <w:pPr>
        <w:spacing w:line="276" w:lineRule="auto"/>
        <w:ind w:firstLine="420" w:firstLineChars="200"/>
        <w:rPr>
          <w:rFonts w:ascii="宋体" w:hAnsi="宋体" w:cs="宋体"/>
          <w:b/>
          <w:u w:val="single"/>
        </w:rPr>
      </w:pPr>
      <w:r>
        <w:rPr>
          <w:rFonts w:hint="eastAsia" w:ascii="宋体" w:hAnsi="宋体" w:cs="宋体"/>
        </w:rPr>
        <w:t>需要由承包人提供的文件，包括：</w:t>
      </w:r>
      <w:r>
        <w:rPr>
          <w:rFonts w:hint="eastAsia" w:ascii="宋体" w:hAnsi="宋体" w:cs="宋体"/>
          <w:b/>
          <w:u w:val="single"/>
        </w:rPr>
        <w:t xml:space="preserve">提供完善的施工组织设计、各专业专项方案和施工进度计划、供应采购材料清单、材料进场计划、劳动力计划书、已完工程量报告等所有业主要求提供的资料，每月25日前提供下月完成工程量报表、月进度报表等，具体以合同执行过程中的书面约定为准 </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承包人提供的文件的期限为</w:t>
      </w:r>
      <w:r>
        <w:rPr>
          <w:rFonts w:hint="eastAsia" w:ascii="宋体" w:hAnsi="宋体" w:cs="宋体"/>
          <w:b/>
        </w:rPr>
        <w:t>：</w:t>
      </w:r>
      <w:r>
        <w:rPr>
          <w:rFonts w:hint="eastAsia" w:ascii="宋体" w:hAnsi="宋体" w:cs="宋体"/>
          <w:b/>
          <w:u w:val="single"/>
        </w:rPr>
        <w:t>承包人在收到施工图纸后7日内</w:t>
      </w:r>
      <w:r>
        <w:rPr>
          <w:rFonts w:hint="eastAsia" w:ascii="宋体" w:hAnsi="宋体" w:cs="宋体"/>
        </w:rPr>
        <w:t>；</w:t>
      </w:r>
    </w:p>
    <w:p>
      <w:pPr>
        <w:spacing w:line="276" w:lineRule="auto"/>
        <w:ind w:firstLine="420" w:firstLineChars="200"/>
        <w:rPr>
          <w:rFonts w:ascii="宋体" w:hAnsi="宋体" w:cs="宋体"/>
          <w:b/>
          <w:u w:val="single"/>
        </w:rPr>
      </w:pPr>
      <w:r>
        <w:rPr>
          <w:rFonts w:hint="eastAsia" w:ascii="宋体" w:hAnsi="宋体" w:cs="宋体"/>
        </w:rPr>
        <w:t>承包人提供的文件的数量为：</w:t>
      </w:r>
      <w:r>
        <w:rPr>
          <w:rFonts w:hint="eastAsia" w:ascii="宋体" w:hAnsi="宋体" w:cs="宋体"/>
          <w:b/>
          <w:u w:val="single"/>
        </w:rPr>
        <w:t>满足发包人所需，具体数量由发包人确定</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承包人提供的文件的形式为：</w:t>
      </w:r>
      <w:r>
        <w:rPr>
          <w:rFonts w:hint="eastAsia" w:ascii="宋体" w:hAnsi="宋体" w:cs="宋体"/>
          <w:b/>
          <w:u w:val="single"/>
        </w:rPr>
        <w:t>书面形式（纸质和电子版）</w:t>
      </w:r>
      <w:r>
        <w:rPr>
          <w:rFonts w:hint="eastAsia" w:ascii="宋体" w:hAnsi="宋体" w:cs="宋体"/>
        </w:rPr>
        <w:t>；</w:t>
      </w:r>
    </w:p>
    <w:p>
      <w:pPr>
        <w:spacing w:line="276" w:lineRule="auto"/>
        <w:ind w:firstLine="420" w:firstLineChars="200"/>
        <w:rPr>
          <w:rFonts w:ascii="宋体" w:hAnsi="宋体" w:cs="宋体"/>
          <w:b/>
        </w:rPr>
      </w:pPr>
      <w:r>
        <w:rPr>
          <w:rFonts w:hint="eastAsia" w:ascii="宋体" w:hAnsi="宋体" w:cs="宋体"/>
        </w:rPr>
        <w:t>发包人审批承包人文件的期限：</w:t>
      </w:r>
      <w:r>
        <w:rPr>
          <w:rFonts w:hint="eastAsia" w:ascii="宋体" w:hAnsi="宋体" w:cs="宋体"/>
          <w:b/>
          <w:u w:val="single"/>
        </w:rPr>
        <w:t>收到文件后7天内审核批准或提出修改意见</w:t>
      </w:r>
      <w:r>
        <w:rPr>
          <w:rFonts w:hint="eastAsia" w:ascii="宋体" w:hAnsi="宋体" w:cs="宋体"/>
          <w:b/>
        </w:rPr>
        <w:t>。</w:t>
      </w:r>
    </w:p>
    <w:p>
      <w:pPr>
        <w:spacing w:after="120" w:line="276" w:lineRule="auto"/>
        <w:ind w:firstLine="420" w:firstLineChars="200"/>
        <w:rPr>
          <w:rFonts w:ascii="宋体" w:hAnsi="宋体" w:cs="宋体"/>
        </w:rPr>
      </w:pPr>
      <w:r>
        <w:rPr>
          <w:rFonts w:hint="eastAsia" w:ascii="宋体" w:hAnsi="宋体" w:cs="宋体"/>
        </w:rPr>
        <w:t>1.7 联络</w:t>
      </w:r>
    </w:p>
    <w:p>
      <w:pPr>
        <w:spacing w:line="276" w:lineRule="auto"/>
        <w:ind w:firstLine="420" w:firstLineChars="200"/>
        <w:rPr>
          <w:rFonts w:ascii="宋体" w:hAnsi="宋体" w:cs="宋体"/>
        </w:rPr>
      </w:pPr>
      <w:r>
        <w:rPr>
          <w:rFonts w:hint="eastAsia" w:ascii="宋体" w:hAnsi="宋体" w:cs="宋体"/>
        </w:rPr>
        <w:t>1.7.1发包人和承包人应当在</w:t>
      </w:r>
      <w:r>
        <w:rPr>
          <w:rFonts w:hint="eastAsia" w:ascii="宋体" w:hAnsi="宋体" w:cs="宋体"/>
          <w:b/>
          <w:u w:val="single"/>
        </w:rPr>
        <w:t xml:space="preserve"> 3 </w:t>
      </w:r>
      <w:r>
        <w:rPr>
          <w:rFonts w:hint="eastAsia" w:ascii="宋体" w:hAnsi="宋体" w:cs="宋体"/>
          <w:b/>
        </w:rPr>
        <w:t>天</w:t>
      </w:r>
      <w:r>
        <w:rPr>
          <w:rFonts w:hint="eastAsia" w:ascii="宋体" w:hAnsi="宋体" w:cs="宋体"/>
        </w:rPr>
        <w:t>内将与合同有关的通知、批准、证明、证书、指示、指令、要求、请求、同意、意见、确定和决定等书面函件送达对方当事人。</w:t>
      </w:r>
    </w:p>
    <w:p>
      <w:pPr>
        <w:spacing w:line="276" w:lineRule="auto"/>
        <w:ind w:firstLine="420" w:firstLineChars="200"/>
        <w:rPr>
          <w:rFonts w:ascii="宋体" w:hAnsi="宋体" w:cs="宋体"/>
        </w:rPr>
      </w:pPr>
      <w:r>
        <w:rPr>
          <w:rFonts w:hint="eastAsia" w:ascii="宋体" w:hAnsi="宋体" w:cs="宋体"/>
        </w:rPr>
        <w:t>1.7.2 发包人接收文件的地点：</w:t>
      </w:r>
      <w:r>
        <w:rPr>
          <w:rFonts w:hint="eastAsia" w:ascii="宋体" w:hAnsi="宋体" w:cs="宋体"/>
          <w:u w:val="single"/>
        </w:rPr>
        <w:t xml:space="preserve"> 六安世立医院专家楼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发包人指定的接收人为：</w:t>
      </w:r>
      <w:r>
        <w:rPr>
          <w:rFonts w:hint="eastAsia" w:ascii="宋体" w:hAnsi="宋体" w:cs="宋体"/>
          <w:u w:val="single"/>
        </w:rPr>
        <w:t xml:space="preserve">          发包人代表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承包人接收文件的地点：</w:t>
      </w:r>
      <w:r>
        <w:rPr>
          <w:rFonts w:hint="eastAsia" w:ascii="宋体" w:hAnsi="宋体" w:cs="宋体"/>
          <w:u w:val="single"/>
        </w:rPr>
        <w:t>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承包人指定的接收人为：</w:t>
      </w:r>
      <w:r>
        <w:rPr>
          <w:rFonts w:hint="eastAsia" w:ascii="宋体" w:hAnsi="宋体" w:cs="宋体"/>
          <w:u w:val="single"/>
        </w:rPr>
        <w:t>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监理人接收文件的地点：</w:t>
      </w:r>
      <w:r>
        <w:rPr>
          <w:rFonts w:hint="eastAsia" w:ascii="宋体" w:hAnsi="宋体" w:cs="宋体"/>
          <w:u w:val="single"/>
        </w:rPr>
        <w:t>  /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监理人指定的接收人为：</w:t>
      </w:r>
      <w:r>
        <w:rPr>
          <w:rFonts w:hint="eastAsia" w:ascii="宋体" w:hAnsi="宋体" w:cs="宋体"/>
          <w:u w:val="single"/>
        </w:rPr>
        <w:t>   /         </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1.10 交通运输</w:t>
      </w:r>
    </w:p>
    <w:p>
      <w:pPr>
        <w:spacing w:line="276" w:lineRule="auto"/>
        <w:ind w:firstLine="420" w:firstLineChars="200"/>
        <w:rPr>
          <w:rFonts w:ascii="宋体" w:hAnsi="宋体" w:cs="宋体"/>
        </w:rPr>
      </w:pPr>
      <w:r>
        <w:rPr>
          <w:rFonts w:hint="eastAsia" w:ascii="宋体" w:hAnsi="宋体" w:cs="宋体"/>
        </w:rPr>
        <w:t>1</w:t>
      </w:r>
      <w:bookmarkStart w:id="62" w:name="_Toc304295521"/>
      <w:bookmarkStart w:id="63" w:name="_Toc303539100"/>
      <w:bookmarkStart w:id="64" w:name="_Toc312677986"/>
      <w:bookmarkStart w:id="65" w:name="_Toc318581155"/>
      <w:bookmarkStart w:id="66" w:name="_Toc300934943"/>
      <w:r>
        <w:rPr>
          <w:rFonts w:hint="eastAsia" w:ascii="宋体" w:hAnsi="宋体" w:cs="宋体"/>
        </w:rPr>
        <w:t>.10.1 出入现场的权利</w:t>
      </w:r>
    </w:p>
    <w:p>
      <w:pPr>
        <w:spacing w:line="276" w:lineRule="auto"/>
        <w:ind w:firstLine="420" w:firstLineChars="200"/>
        <w:rPr>
          <w:rFonts w:ascii="宋体" w:hAnsi="宋体" w:cs="宋体"/>
          <w:b/>
          <w:color w:val="FF0000"/>
        </w:rPr>
      </w:pPr>
      <w:r>
        <w:rPr>
          <w:rFonts w:hint="eastAsia" w:ascii="宋体" w:hAnsi="宋体" w:cs="宋体"/>
        </w:rPr>
        <w:t>关于出入现场的权利的约定：</w:t>
      </w:r>
      <w:r>
        <w:rPr>
          <w:rFonts w:hint="eastAsia" w:ascii="宋体" w:hAnsi="宋体" w:cs="宋体"/>
          <w:b/>
          <w:color w:val="FF0000"/>
          <w:u w:val="single"/>
        </w:rPr>
        <w:t>1）由承包人按发包人要求负责取得出入施工现场所需的批准手续并承担相关手续费用。2）承包人人员和车辆进出施工现场的防尘、降噪音、卫生洁净管理；3）所有进入施工场地的人员和机械由承包人负责，施工造成的人员伤亡等直接经济损失由承包人承担；4）所有出场车辆卫生管理必须服从当地行政执法局的有关规定，因此产生的费用由承包人自理</w:t>
      </w:r>
      <w:r>
        <w:rPr>
          <w:rFonts w:hint="eastAsia" w:ascii="宋体" w:hAnsi="宋体" w:cs="宋体"/>
          <w:b/>
          <w:color w:val="FF0000"/>
        </w:rPr>
        <w:t>。</w:t>
      </w:r>
    </w:p>
    <w:bookmarkEnd w:id="62"/>
    <w:bookmarkEnd w:id="63"/>
    <w:bookmarkEnd w:id="64"/>
    <w:bookmarkEnd w:id="65"/>
    <w:bookmarkEnd w:id="66"/>
    <w:p>
      <w:pPr>
        <w:spacing w:line="276" w:lineRule="auto"/>
        <w:ind w:firstLine="420" w:firstLineChars="200"/>
        <w:rPr>
          <w:rFonts w:ascii="宋体" w:hAnsi="宋体" w:cs="宋体"/>
          <w:b/>
          <w:u w:val="single"/>
        </w:rPr>
      </w:pPr>
      <w:r>
        <w:rPr>
          <w:rFonts w:hint="eastAsia" w:ascii="宋体" w:hAnsi="宋体" w:cs="宋体"/>
        </w:rPr>
        <w:t xml:space="preserve">1.10.2 场外交通： </w:t>
      </w:r>
      <w:r>
        <w:rPr>
          <w:rFonts w:hint="eastAsia" w:ascii="宋体" w:hAnsi="宋体" w:cs="宋体"/>
          <w:b/>
          <w:u w:val="single"/>
        </w:rPr>
        <w:t>承包人应自行勘察场外交通设施的技术参数和具体条件</w:t>
      </w:r>
      <w:r>
        <w:rPr>
          <w:rFonts w:hint="eastAsia" w:ascii="宋体" w:hAnsi="宋体" w:cs="宋体"/>
          <w:b/>
        </w:rPr>
        <w:t xml:space="preserve">。      </w:t>
      </w:r>
      <w:r>
        <w:rPr>
          <w:rFonts w:hint="eastAsia" w:ascii="宋体" w:hAnsi="宋体" w:cs="宋体"/>
          <w:b/>
          <w:u w:val="single"/>
        </w:rPr>
        <w:t xml:space="preserve">     </w:t>
      </w:r>
    </w:p>
    <w:p>
      <w:pPr>
        <w:spacing w:line="276" w:lineRule="auto"/>
        <w:ind w:firstLine="420" w:firstLineChars="200"/>
        <w:rPr>
          <w:rFonts w:ascii="宋体" w:hAnsi="宋体" w:cs="宋体"/>
        </w:rPr>
      </w:pPr>
      <w:r>
        <w:rPr>
          <w:rFonts w:hint="eastAsia" w:ascii="宋体" w:hAnsi="宋体" w:cs="宋体"/>
        </w:rPr>
        <w:t>1</w:t>
      </w:r>
      <w:bookmarkStart w:id="67" w:name="_Toc304295522"/>
      <w:bookmarkStart w:id="68" w:name="_Toc300934944"/>
      <w:bookmarkStart w:id="69" w:name="_Toc312677987"/>
      <w:bookmarkStart w:id="70" w:name="_Toc318581156"/>
      <w:bookmarkStart w:id="71" w:name="_Toc303539101"/>
      <w:r>
        <w:rPr>
          <w:rFonts w:hint="eastAsia" w:ascii="宋体" w:hAnsi="宋体" w:cs="宋体"/>
        </w:rPr>
        <w:t>.10.3 场内交通</w:t>
      </w:r>
    </w:p>
    <w:p>
      <w:pPr>
        <w:spacing w:line="276" w:lineRule="auto"/>
        <w:ind w:firstLine="420" w:firstLineChars="200"/>
        <w:rPr>
          <w:rFonts w:ascii="宋体" w:hAnsi="宋体" w:cs="宋体"/>
        </w:rPr>
      </w:pPr>
      <w:r>
        <w:rPr>
          <w:rFonts w:hint="eastAsia" w:ascii="宋体" w:hAnsi="宋体" w:cs="宋体"/>
        </w:rPr>
        <w:t>关于场外交通和场内交通的边界的约定：</w:t>
      </w:r>
      <w:r>
        <w:rPr>
          <w:rFonts w:hint="eastAsia" w:ascii="宋体" w:hAnsi="宋体" w:cs="宋体"/>
          <w:b/>
          <w:u w:val="single"/>
        </w:rPr>
        <w:t xml:space="preserve">以六安世立医院院墙为界 </w:t>
      </w:r>
      <w:r>
        <w:rPr>
          <w:rFonts w:hint="eastAsia" w:ascii="宋体" w:hAnsi="宋体" w:cs="宋体"/>
        </w:rPr>
        <w:t>。</w:t>
      </w:r>
    </w:p>
    <w:p>
      <w:pPr>
        <w:spacing w:line="276" w:lineRule="auto"/>
        <w:ind w:firstLine="420" w:firstLineChars="200"/>
        <w:rPr>
          <w:rFonts w:ascii="宋体" w:hAnsi="宋体" w:cs="宋体"/>
          <w:b/>
        </w:rPr>
      </w:pPr>
      <w:r>
        <w:rPr>
          <w:rFonts w:hint="eastAsia" w:ascii="宋体" w:hAnsi="宋体" w:cs="宋体"/>
        </w:rPr>
        <w:t>关于发包人向承包人免费提供满足工程施工需要的场内道路和交通设施的约定：</w:t>
      </w:r>
      <w:bookmarkEnd w:id="67"/>
      <w:bookmarkEnd w:id="68"/>
      <w:bookmarkEnd w:id="69"/>
      <w:bookmarkEnd w:id="70"/>
      <w:bookmarkEnd w:id="71"/>
      <w:bookmarkStart w:id="72" w:name="_Toc318581157"/>
      <w:r>
        <w:rPr>
          <w:rFonts w:hint="eastAsia" w:ascii="宋体" w:hAnsi="宋体" w:cs="宋体"/>
          <w:b/>
          <w:u w:val="single"/>
        </w:rPr>
        <w:t>承包人可利用场内已有道路及交通设施，但承包人应自行考虑载荷、安全等因素并承担对其的加固、改造、修复、重建等所有费用</w:t>
      </w:r>
      <w:r>
        <w:rPr>
          <w:rFonts w:hint="eastAsia" w:ascii="宋体" w:hAnsi="宋体" w:cs="宋体"/>
          <w:b/>
        </w:rPr>
        <w:t xml:space="preserve">。  </w:t>
      </w:r>
    </w:p>
    <w:p>
      <w:pPr>
        <w:spacing w:line="276" w:lineRule="auto"/>
        <w:ind w:firstLine="420" w:firstLineChars="200"/>
        <w:rPr>
          <w:rFonts w:ascii="宋体" w:hAnsi="宋体" w:cs="宋体"/>
        </w:rPr>
      </w:pPr>
      <w:r>
        <w:rPr>
          <w:rFonts w:hint="eastAsia" w:ascii="宋体" w:hAnsi="宋体" w:cs="宋体"/>
        </w:rPr>
        <w:t>1.10.4超大件和超重件的运输</w:t>
      </w:r>
    </w:p>
    <w:p>
      <w:pPr>
        <w:spacing w:line="276" w:lineRule="auto"/>
        <w:ind w:firstLine="420" w:firstLineChars="200"/>
        <w:rPr>
          <w:rFonts w:ascii="宋体" w:hAnsi="宋体" w:cs="宋体"/>
        </w:rPr>
      </w:pPr>
      <w:r>
        <w:rPr>
          <w:rFonts w:hint="eastAsia" w:ascii="宋体" w:hAnsi="宋体" w:cs="宋体"/>
        </w:rPr>
        <w:t>运输超大件或超重件所需的道路和桥梁临时加固改造费用和其他有关费用由</w:t>
      </w:r>
      <w:r>
        <w:rPr>
          <w:rFonts w:hint="eastAsia" w:ascii="宋体" w:hAnsi="宋体" w:cs="宋体"/>
          <w:b/>
          <w:u w:val="single"/>
        </w:rPr>
        <w:t>承包人</w:t>
      </w:r>
      <w:r>
        <w:rPr>
          <w:rFonts w:hint="eastAsia" w:ascii="宋体" w:hAnsi="宋体" w:cs="宋体"/>
        </w:rPr>
        <w:t>承担。</w:t>
      </w:r>
    </w:p>
    <w:bookmarkEnd w:id="72"/>
    <w:p>
      <w:pPr>
        <w:spacing w:after="120" w:line="276" w:lineRule="auto"/>
        <w:ind w:firstLine="420" w:firstLineChars="200"/>
        <w:rPr>
          <w:rFonts w:ascii="宋体" w:hAnsi="宋体" w:cs="宋体"/>
        </w:rPr>
      </w:pPr>
      <w:r>
        <w:rPr>
          <w:rFonts w:hint="eastAsia" w:ascii="宋体" w:hAnsi="宋体" w:cs="宋体"/>
        </w:rPr>
        <w:t>1.11 知识产权</w:t>
      </w:r>
    </w:p>
    <w:p>
      <w:pPr>
        <w:spacing w:line="276" w:lineRule="auto"/>
        <w:ind w:firstLine="420" w:firstLineChars="200"/>
        <w:rPr>
          <w:rFonts w:ascii="宋体" w:hAnsi="宋体" w:cs="宋体"/>
        </w:rPr>
      </w:pPr>
      <w:r>
        <w:rPr>
          <w:rFonts w:hint="eastAsia" w:ascii="宋体" w:hAnsi="宋体" w:cs="宋体"/>
        </w:rPr>
        <w:t>1.11.1关于发包人提供给承包人的图纸、发包人为实施工程自行编制或委托编制的技术规范以及反映发包人关于合同要求或其他类似性质的文件的著作权的归属：</w:t>
      </w:r>
      <w:r>
        <w:rPr>
          <w:rFonts w:hint="eastAsia" w:ascii="宋体" w:hAnsi="宋体" w:cs="宋体"/>
          <w:b/>
          <w:u w:val="single"/>
        </w:rPr>
        <w:t>发包人</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关于发包人提供的上述文件的使用限制的要求：</w:t>
      </w:r>
      <w:r>
        <w:rPr>
          <w:rFonts w:hint="eastAsia" w:ascii="宋体" w:hAnsi="宋体" w:cs="宋体"/>
          <w:b/>
          <w:u w:val="single"/>
        </w:rPr>
        <w:t>（1）承包人仅可用于本项目工程施工，未经发包人事先书面许可，承包人不得向第三方出卖、交换、泄露或透露。否则，承包人应承担一切法律责任并赔偿发包人由此造成的损失。（2）承包人保证只将上述文件用于本合同履行，不得将上述文件的任何部分泄露给第三方，否则视为侵犯发包人商业秘密，并应依法承担相应赔偿责任</w:t>
      </w:r>
      <w:r>
        <w:rPr>
          <w:rFonts w:hint="eastAsia" w:ascii="宋体" w:hAnsi="宋体" w:cs="宋体"/>
          <w:b/>
        </w:rPr>
        <w:t xml:space="preserve">。 </w:t>
      </w:r>
    </w:p>
    <w:p>
      <w:pPr>
        <w:spacing w:line="276" w:lineRule="auto"/>
        <w:ind w:firstLine="420" w:firstLineChars="200"/>
        <w:rPr>
          <w:rFonts w:ascii="宋体" w:hAnsi="宋体" w:cs="宋体"/>
        </w:rPr>
      </w:pPr>
      <w:r>
        <w:rPr>
          <w:rFonts w:hint="eastAsia" w:ascii="宋体" w:hAnsi="宋体" w:cs="宋体"/>
        </w:rPr>
        <w:t>1.11.2 关于承包人为实施工程所编制文件的著作权的归属：</w:t>
      </w:r>
      <w:r>
        <w:rPr>
          <w:rFonts w:hint="eastAsia" w:ascii="宋体" w:hAnsi="宋体" w:cs="宋体"/>
          <w:b/>
          <w:u w:val="single"/>
        </w:rPr>
        <w:t>承包人和发包人共有</w:t>
      </w:r>
      <w:r>
        <w:rPr>
          <w:rFonts w:hint="eastAsia" w:ascii="宋体" w:hAnsi="宋体" w:cs="宋体"/>
        </w:rPr>
        <w:t>。</w:t>
      </w:r>
    </w:p>
    <w:p>
      <w:pPr>
        <w:spacing w:line="276" w:lineRule="auto"/>
        <w:ind w:firstLine="420" w:firstLineChars="200"/>
        <w:rPr>
          <w:rFonts w:ascii="宋体" w:hAnsi="宋体" w:cs="宋体"/>
          <w:u w:val="single"/>
        </w:rPr>
      </w:pPr>
      <w:r>
        <w:rPr>
          <w:rFonts w:hint="eastAsia" w:ascii="宋体" w:hAnsi="宋体" w:cs="宋体"/>
        </w:rPr>
        <w:t>关于承包人提供的上述文件的使用限制的要求</w:t>
      </w:r>
      <w:r>
        <w:rPr>
          <w:rFonts w:hint="eastAsia" w:ascii="宋体" w:hAnsi="宋体" w:cs="宋体"/>
          <w:b/>
        </w:rPr>
        <w:t>：</w:t>
      </w:r>
      <w:r>
        <w:rPr>
          <w:rFonts w:hint="eastAsia" w:ascii="宋体" w:hAnsi="宋体" w:cs="宋体"/>
          <w:b/>
          <w:u w:val="single"/>
        </w:rPr>
        <w:t>未经承包人许可，发包人不得向第三方出卖、交换、泄露或透露。否则，发包人应承担一切法律责任并赔偿承包人由此造成的经济损失。</w:t>
      </w:r>
    </w:p>
    <w:p>
      <w:pPr>
        <w:spacing w:line="276" w:lineRule="auto"/>
        <w:ind w:firstLine="420" w:firstLineChars="200"/>
        <w:rPr>
          <w:rFonts w:ascii="宋体" w:hAnsi="宋体" w:cs="宋体"/>
        </w:rPr>
      </w:pPr>
      <w:r>
        <w:rPr>
          <w:rFonts w:hint="eastAsia" w:ascii="宋体" w:hAnsi="宋体" w:cs="宋体"/>
        </w:rPr>
        <w:t>1.11.4 承包人在施工过程中所采用的专利、专有技术、技术秘密的使用费的承担方式：</w:t>
      </w:r>
      <w:r>
        <w:rPr>
          <w:rFonts w:hint="eastAsia" w:ascii="宋体" w:hAnsi="宋体" w:cs="宋体"/>
          <w:b/>
          <w:u w:val="single"/>
        </w:rPr>
        <w:t>承包人自行承担</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1.13工程量清单错误的修正</w:t>
      </w:r>
    </w:p>
    <w:p>
      <w:pPr>
        <w:spacing w:line="276" w:lineRule="auto"/>
        <w:ind w:firstLine="420" w:firstLineChars="200"/>
        <w:rPr>
          <w:rFonts w:ascii="宋体" w:hAnsi="宋体" w:cs="宋体"/>
        </w:rPr>
      </w:pPr>
      <w:r>
        <w:rPr>
          <w:rFonts w:hint="eastAsia" w:ascii="宋体" w:hAnsi="宋体" w:cs="宋体"/>
        </w:rPr>
        <w:t>出现工程量清单错误时，是否调整合同价格：</w:t>
      </w:r>
      <w:r>
        <w:rPr>
          <w:rFonts w:hint="eastAsia" w:ascii="宋体" w:hAnsi="宋体" w:cs="宋体"/>
          <w:u w:val="single"/>
        </w:rPr>
        <w:t xml:space="preserve"> </w:t>
      </w:r>
      <w:r>
        <w:rPr>
          <w:rFonts w:hint="eastAsia" w:ascii="宋体" w:hAnsi="宋体" w:cs="宋体"/>
          <w:b/>
          <w:u w:val="single"/>
        </w:rPr>
        <w:t xml:space="preserve">否 </w:t>
      </w:r>
      <w:r>
        <w:rPr>
          <w:rFonts w:hint="eastAsia" w:ascii="宋体" w:hAnsi="宋体" w:cs="宋体"/>
          <w:u w:val="single"/>
        </w:rPr>
        <w:t xml:space="preserve">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允许调整合同价格的工程量偏差范围：</w:t>
      </w:r>
      <w:r>
        <w:rPr>
          <w:rFonts w:hint="eastAsia" w:ascii="宋体" w:hAnsi="宋体" w:cs="宋体"/>
          <w:u w:val="single"/>
        </w:rPr>
        <w:t xml:space="preserve">   </w:t>
      </w:r>
      <w:r>
        <w:rPr>
          <w:rFonts w:hint="eastAsia" w:ascii="宋体" w:hAnsi="宋体" w:cs="宋体"/>
          <w:b/>
          <w:u w:val="single"/>
        </w:rPr>
        <w:t xml:space="preserve">/ </w:t>
      </w:r>
      <w:r>
        <w:rPr>
          <w:rFonts w:hint="eastAsia" w:ascii="宋体" w:hAnsi="宋体" w:cs="宋体"/>
          <w:b/>
        </w:rPr>
        <w:t xml:space="preserve">。    </w:t>
      </w:r>
      <w:r>
        <w:rPr>
          <w:rFonts w:hint="eastAsia" w:ascii="宋体" w:hAnsi="宋体" w:cs="宋体"/>
        </w:rPr>
        <w:t xml:space="preserve"> </w:t>
      </w:r>
    </w:p>
    <w:p>
      <w:pPr>
        <w:pStyle w:val="5"/>
        <w:spacing w:line="276" w:lineRule="auto"/>
        <w:rPr>
          <w:rFonts w:ascii="宋体" w:hAnsi="宋体" w:cs="宋体"/>
          <w:b w:val="0"/>
          <w:sz w:val="24"/>
          <w:szCs w:val="24"/>
        </w:rPr>
      </w:pPr>
      <w:r>
        <w:rPr>
          <w:rFonts w:hint="eastAsia" w:ascii="宋体" w:hAnsi="宋体" w:cs="宋体"/>
          <w:b w:val="0"/>
          <w:sz w:val="24"/>
          <w:szCs w:val="24"/>
        </w:rPr>
        <w:t>2. 发包人</w:t>
      </w:r>
    </w:p>
    <w:p>
      <w:pPr>
        <w:spacing w:after="120" w:line="276" w:lineRule="auto"/>
        <w:ind w:firstLine="420" w:firstLineChars="200"/>
        <w:rPr>
          <w:rFonts w:ascii="宋体" w:hAnsi="宋体" w:cs="宋体"/>
        </w:rPr>
      </w:pPr>
      <w:r>
        <w:rPr>
          <w:rFonts w:hint="eastAsia" w:ascii="宋体" w:hAnsi="宋体" w:cs="宋体"/>
        </w:rPr>
        <w:t>2.2 发包人代表</w:t>
      </w:r>
    </w:p>
    <w:p>
      <w:pPr>
        <w:spacing w:line="276" w:lineRule="auto"/>
        <w:ind w:firstLine="420" w:firstLineChars="200"/>
        <w:rPr>
          <w:rFonts w:ascii="宋体" w:hAnsi="宋体" w:cs="宋体"/>
        </w:rPr>
      </w:pPr>
      <w:r>
        <w:rPr>
          <w:rFonts w:hint="eastAsia" w:ascii="宋体" w:hAnsi="宋体" w:cs="宋体"/>
        </w:rPr>
        <w:t>发包人代表：</w:t>
      </w:r>
    </w:p>
    <w:p>
      <w:pPr>
        <w:spacing w:line="276" w:lineRule="auto"/>
        <w:ind w:firstLine="420" w:firstLineChars="200"/>
        <w:rPr>
          <w:rFonts w:ascii="宋体" w:hAnsi="宋体" w:cs="宋体"/>
        </w:rPr>
      </w:pPr>
      <w:r>
        <w:rPr>
          <w:rFonts w:hint="eastAsia" w:ascii="宋体" w:hAnsi="宋体" w:cs="宋体"/>
        </w:rPr>
        <w:t>姓    名：</w:t>
      </w:r>
      <w:r>
        <w:rPr>
          <w:rFonts w:hint="eastAsia" w:ascii="宋体" w:hAnsi="宋体" w:cs="宋体"/>
          <w:u w:val="single"/>
        </w:rPr>
        <w:t> 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身份证号：</w:t>
      </w:r>
      <w:r>
        <w:rPr>
          <w:rFonts w:hint="eastAsia" w:ascii="宋体" w:hAnsi="宋体" w:cs="宋体"/>
          <w:u w:val="single"/>
        </w:rPr>
        <w:t> 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职    务：</w:t>
      </w:r>
      <w:r>
        <w:rPr>
          <w:rFonts w:hint="eastAsia" w:ascii="宋体" w:hAnsi="宋体" w:cs="宋体"/>
          <w:u w:val="single"/>
        </w:rPr>
        <w:t>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联系电话：</w:t>
      </w:r>
      <w:r>
        <w:rPr>
          <w:rFonts w:hint="eastAsia" w:ascii="宋体" w:hAnsi="宋体" w:cs="宋体"/>
          <w:u w:val="single"/>
        </w:rPr>
        <w:t>   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电子信箱：</w:t>
      </w:r>
      <w:r>
        <w:rPr>
          <w:rFonts w:hint="eastAsia" w:ascii="宋体" w:hAnsi="宋体" w:cs="宋体"/>
          <w:u w:val="single"/>
        </w:rPr>
        <w:t>   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通信地址：</w:t>
      </w:r>
      <w:r>
        <w:rPr>
          <w:rFonts w:hint="eastAsia" w:ascii="宋体" w:hAnsi="宋体" w:cs="宋体"/>
          <w:u w:val="single"/>
        </w:rPr>
        <w:t>    </w:t>
      </w:r>
      <w:r>
        <w:rPr>
          <w:rFonts w:hint="eastAsia" w:ascii="宋体" w:hAnsi="宋体" w:cs="宋体"/>
        </w:rPr>
        <w:t>。</w:t>
      </w:r>
    </w:p>
    <w:p>
      <w:pPr>
        <w:spacing w:line="360" w:lineRule="auto"/>
        <w:rPr>
          <w:rFonts w:ascii="宋体" w:hAnsi="宋体" w:cs="宋体"/>
          <w:b/>
        </w:rPr>
      </w:pPr>
      <w:r>
        <w:rPr>
          <w:rFonts w:hint="eastAsia" w:ascii="宋体" w:hAnsi="宋体" w:cs="宋体"/>
        </w:rPr>
        <w:t>发包人对发包人代表的授权范围如下：</w:t>
      </w:r>
      <w:r>
        <w:rPr>
          <w:rFonts w:hint="eastAsia" w:ascii="宋体" w:hAnsi="宋体" w:cs="宋体"/>
          <w:b/>
          <w:u w:val="single"/>
        </w:rPr>
        <w:t>督促指导承包人履行合同义务。协调施工现场各方面的关系。监督工程质量、进度和安全文明施工中存在的问题。解决有关设计和技术签证，办理、签认现场经济技术签证，审核工程进度报表</w:t>
      </w:r>
      <w:r>
        <w:rPr>
          <w:rFonts w:hint="eastAsia" w:ascii="宋体" w:hAnsi="宋体" w:cs="宋体"/>
          <w:b/>
        </w:rPr>
        <w:t>。</w:t>
      </w:r>
    </w:p>
    <w:p>
      <w:pPr>
        <w:spacing w:line="276" w:lineRule="auto"/>
        <w:rPr>
          <w:rFonts w:ascii="宋体" w:hAnsi="宋体" w:cs="宋体"/>
        </w:rPr>
      </w:pPr>
      <w:r>
        <w:rPr>
          <w:rFonts w:hint="eastAsia" w:ascii="宋体" w:hAnsi="宋体" w:cs="宋体"/>
        </w:rPr>
        <w:t>2.4 施工现场、施工条件和基础资料的提供</w:t>
      </w:r>
    </w:p>
    <w:p>
      <w:pPr>
        <w:spacing w:line="276" w:lineRule="auto"/>
        <w:ind w:firstLine="420" w:firstLineChars="200"/>
        <w:rPr>
          <w:rFonts w:ascii="宋体" w:hAnsi="宋体" w:cs="宋体"/>
        </w:rPr>
      </w:pPr>
      <w:r>
        <w:rPr>
          <w:rFonts w:hint="eastAsia" w:ascii="宋体" w:hAnsi="宋体" w:cs="宋体"/>
        </w:rPr>
        <w:t>2.4.1 提供施工现场</w:t>
      </w:r>
    </w:p>
    <w:p>
      <w:pPr>
        <w:spacing w:line="276" w:lineRule="auto"/>
        <w:ind w:firstLine="420" w:firstLineChars="200"/>
        <w:rPr>
          <w:rFonts w:ascii="宋体" w:hAnsi="宋体" w:cs="宋体"/>
        </w:rPr>
      </w:pPr>
      <w:r>
        <w:rPr>
          <w:rFonts w:hint="eastAsia" w:ascii="宋体" w:hAnsi="宋体" w:cs="宋体"/>
        </w:rPr>
        <w:t>关于发包人移交施工现场的期限要求：</w:t>
      </w:r>
      <w:r>
        <w:rPr>
          <w:rFonts w:hint="eastAsia" w:ascii="宋体" w:hAnsi="宋体" w:cs="宋体"/>
          <w:b/>
          <w:u w:val="single"/>
        </w:rPr>
        <w:t>本工程已具备开工条件。承包人进场后，按文明工地要求在该区域范围内组织施工。区域内的现场临时设施、施工道路、临时管线等承包人根据批准的施工方案合理布置。费用应包含在措施项目费中</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2.4.2 提供施工条件</w:t>
      </w:r>
    </w:p>
    <w:p>
      <w:pPr>
        <w:spacing w:line="276" w:lineRule="auto"/>
        <w:rPr>
          <w:rFonts w:ascii="宋体" w:hAnsi="宋体" w:cs="宋体"/>
          <w:b/>
        </w:rPr>
      </w:pPr>
      <w:r>
        <w:rPr>
          <w:rFonts w:hint="eastAsia" w:ascii="宋体" w:hAnsi="宋体" w:cs="宋体"/>
        </w:rPr>
        <w:t>关于发包人应负责提供施工所需要的条件，包括：</w:t>
      </w:r>
      <w:r>
        <w:rPr>
          <w:rFonts w:hint="eastAsia" w:ascii="宋体" w:hAnsi="宋体" w:cs="宋体"/>
          <w:b/>
          <w:u w:val="single"/>
        </w:rPr>
        <w:t>发包人指定施工用水和用电的接入点，施工材料临时堆放场所。向承包人提供施工场地的工程地质和地下管线资料。承包人有责任有义务进一步探明确定工程地质情况和地下管线情况。如由于承包人措施不力、管理不善造成地下管网损坏或增加施工风险，由承包人承担相应的责任和损失</w:t>
      </w:r>
      <w:r>
        <w:rPr>
          <w:rFonts w:hint="eastAsia" w:ascii="宋体" w:hAnsi="宋体" w:cs="宋体"/>
          <w:b/>
        </w:rPr>
        <w:t>。</w:t>
      </w:r>
    </w:p>
    <w:p>
      <w:pPr>
        <w:spacing w:line="276" w:lineRule="auto"/>
        <w:ind w:firstLine="422" w:firstLineChars="200"/>
        <w:rPr>
          <w:rFonts w:ascii="宋体" w:hAnsi="宋体" w:cs="宋体"/>
          <w:b/>
          <w:u w:val="single"/>
        </w:rPr>
      </w:pPr>
    </w:p>
    <w:p>
      <w:pPr>
        <w:spacing w:after="120" w:line="276" w:lineRule="auto"/>
        <w:ind w:firstLine="420" w:firstLineChars="200"/>
        <w:rPr>
          <w:rFonts w:ascii="宋体" w:hAnsi="宋体" w:cs="宋体"/>
        </w:rPr>
      </w:pPr>
      <w:r>
        <w:rPr>
          <w:rFonts w:hint="eastAsia" w:ascii="宋体" w:hAnsi="宋体" w:cs="宋体"/>
        </w:rPr>
        <w:t>2.5 资金来源证明及支付担保</w:t>
      </w:r>
    </w:p>
    <w:p>
      <w:pPr>
        <w:spacing w:line="276" w:lineRule="auto"/>
        <w:ind w:firstLine="420" w:firstLineChars="200"/>
        <w:rPr>
          <w:rFonts w:ascii="宋体" w:hAnsi="宋体" w:cs="宋体"/>
        </w:rPr>
      </w:pPr>
      <w:r>
        <w:rPr>
          <w:rFonts w:hint="eastAsia" w:ascii="宋体" w:hAnsi="宋体" w:cs="宋体"/>
        </w:rPr>
        <w:t>发包人提供资金来源证明的期限要求：</w:t>
      </w:r>
      <w:r>
        <w:rPr>
          <w:rFonts w:hint="eastAsia" w:ascii="宋体" w:hAnsi="宋体" w:cs="宋体"/>
          <w:b/>
          <w:u w:val="single"/>
        </w:rPr>
        <w:t xml:space="preserve">/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发包人是否提供支付担保：</w:t>
      </w:r>
      <w:r>
        <w:rPr>
          <w:rFonts w:hint="eastAsia" w:ascii="宋体" w:hAnsi="宋体" w:cs="宋体"/>
          <w:b/>
          <w:u w:val="single"/>
        </w:rPr>
        <w:t xml:space="preserve"> 不提供</w:t>
      </w:r>
      <w:r>
        <w:rPr>
          <w:rFonts w:hint="eastAsia" w:ascii="宋体" w:hAnsi="宋体" w:cs="宋体"/>
        </w:rPr>
        <w:t>。</w:t>
      </w:r>
    </w:p>
    <w:p>
      <w:pPr>
        <w:spacing w:line="276" w:lineRule="auto"/>
        <w:ind w:firstLine="420" w:firstLineChars="200"/>
        <w:rPr>
          <w:rFonts w:ascii="宋体" w:hAnsi="宋体" w:cs="宋体"/>
          <w:u w:val="single"/>
        </w:rPr>
      </w:pPr>
      <w:r>
        <w:rPr>
          <w:rFonts w:hint="eastAsia" w:ascii="宋体" w:hAnsi="宋体" w:cs="宋体"/>
        </w:rPr>
        <w:t>发包人提供支付担保的形式：</w:t>
      </w:r>
      <w:r>
        <w:rPr>
          <w:rFonts w:hint="eastAsia" w:ascii="宋体" w:hAnsi="宋体" w:cs="宋体"/>
          <w:b/>
          <w:u w:val="single"/>
        </w:rPr>
        <w:t xml:space="preserve"> / </w:t>
      </w:r>
      <w:r>
        <w:rPr>
          <w:rFonts w:hint="eastAsia" w:ascii="宋体" w:hAnsi="宋体" w:cs="宋体"/>
        </w:rPr>
        <w:t>。</w:t>
      </w:r>
    </w:p>
    <w:p>
      <w:pPr>
        <w:pStyle w:val="5"/>
        <w:spacing w:line="276" w:lineRule="auto"/>
        <w:rPr>
          <w:rFonts w:ascii="宋体" w:hAnsi="宋体" w:cs="宋体"/>
          <w:b w:val="0"/>
          <w:sz w:val="24"/>
          <w:szCs w:val="24"/>
        </w:rPr>
      </w:pPr>
      <w:r>
        <w:rPr>
          <w:rFonts w:hint="eastAsia" w:ascii="宋体" w:hAnsi="宋体" w:cs="宋体"/>
          <w:b w:val="0"/>
          <w:sz w:val="24"/>
          <w:szCs w:val="24"/>
        </w:rPr>
        <w:t>3. 承包人</w:t>
      </w:r>
    </w:p>
    <w:p>
      <w:pPr>
        <w:spacing w:after="120" w:line="276" w:lineRule="auto"/>
        <w:ind w:firstLine="420" w:firstLineChars="200"/>
        <w:rPr>
          <w:rFonts w:ascii="宋体" w:hAnsi="宋体" w:cs="宋体"/>
        </w:rPr>
      </w:pPr>
      <w:r>
        <w:rPr>
          <w:rFonts w:hint="eastAsia" w:ascii="宋体" w:hAnsi="宋体" w:cs="宋体"/>
        </w:rPr>
        <w:t>3.1 承包人的一般义务</w:t>
      </w:r>
    </w:p>
    <w:p>
      <w:pPr>
        <w:spacing w:line="276" w:lineRule="auto"/>
        <w:ind w:firstLine="315" w:firstLineChars="150"/>
        <w:rPr>
          <w:rFonts w:ascii="宋体" w:hAnsi="宋体" w:cs="宋体"/>
          <w:b/>
        </w:rPr>
      </w:pPr>
      <w:r>
        <w:rPr>
          <w:rFonts w:hint="eastAsia" w:ascii="宋体" w:hAnsi="宋体" w:cs="宋体"/>
        </w:rPr>
        <w:t>（5）承包人提交的竣工资料的内容：</w:t>
      </w:r>
      <w:r>
        <w:rPr>
          <w:rFonts w:hint="eastAsia" w:ascii="宋体" w:hAnsi="宋体" w:cs="宋体"/>
          <w:b/>
          <w:u w:val="single"/>
        </w:rPr>
        <w:t>承包人向发包人提交完整竣工图纸及竣工图文档。</w:t>
      </w:r>
    </w:p>
    <w:p>
      <w:pPr>
        <w:spacing w:line="276" w:lineRule="auto"/>
        <w:ind w:firstLine="420" w:firstLineChars="200"/>
        <w:rPr>
          <w:rFonts w:ascii="宋体" w:hAnsi="宋体" w:cs="宋体"/>
        </w:rPr>
      </w:pPr>
      <w:r>
        <w:rPr>
          <w:rFonts w:hint="eastAsia" w:ascii="宋体" w:hAnsi="宋体" w:cs="宋体"/>
        </w:rPr>
        <w:t>承包人需要提交的竣工资料套数：</w:t>
      </w:r>
      <w:r>
        <w:rPr>
          <w:rFonts w:hint="eastAsia" w:ascii="宋体" w:hAnsi="宋体" w:cs="宋体"/>
          <w:b/>
          <w:u w:val="single"/>
        </w:rPr>
        <w:t xml:space="preserve"> 贰套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承包人提交的竣工资料的费用承担：</w:t>
      </w:r>
      <w:r>
        <w:rPr>
          <w:rFonts w:hint="eastAsia" w:ascii="宋体" w:hAnsi="宋体" w:cs="宋体"/>
          <w:b/>
          <w:u w:val="single"/>
        </w:rPr>
        <w:t>由承包人承担</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承包人提交的竣工资料移交时间：</w:t>
      </w:r>
      <w:r>
        <w:rPr>
          <w:rFonts w:hint="eastAsia" w:ascii="宋体" w:hAnsi="宋体" w:cs="宋体"/>
          <w:b/>
          <w:u w:val="single"/>
        </w:rPr>
        <w:t>工程竣工验收合格后1个月内</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承包人提交的竣工资料形式要求：</w:t>
      </w:r>
      <w:r>
        <w:rPr>
          <w:rFonts w:hint="eastAsia" w:ascii="宋体" w:hAnsi="宋体" w:cs="宋体"/>
          <w:b/>
          <w:u w:val="single"/>
        </w:rPr>
        <w:t>书面及电子文档</w:t>
      </w:r>
      <w:r>
        <w:rPr>
          <w:rFonts w:hint="eastAsia" w:ascii="宋体" w:hAnsi="宋体" w:cs="宋体"/>
          <w:b/>
        </w:rPr>
        <w:t>。</w:t>
      </w:r>
    </w:p>
    <w:p>
      <w:pPr>
        <w:numPr>
          <w:ilvl w:val="0"/>
          <w:numId w:val="8"/>
        </w:numPr>
        <w:spacing w:line="276" w:lineRule="auto"/>
        <w:ind w:firstLine="420" w:firstLineChars="200"/>
        <w:rPr>
          <w:rFonts w:ascii="宋体" w:hAnsi="宋体" w:cs="宋体"/>
        </w:rPr>
      </w:pPr>
      <w:r>
        <w:rPr>
          <w:rFonts w:hint="eastAsia" w:ascii="宋体" w:hAnsi="宋体" w:cs="宋体"/>
        </w:rPr>
        <w:t xml:space="preserve">承包人应履行的其他义务： </w:t>
      </w:r>
    </w:p>
    <w:p>
      <w:pPr>
        <w:spacing w:line="276" w:lineRule="auto"/>
        <w:rPr>
          <w:rFonts w:ascii="宋体" w:hAnsi="宋体" w:cs="宋体"/>
          <w:b/>
          <w:u w:val="single"/>
        </w:rPr>
      </w:pPr>
      <w:r>
        <w:rPr>
          <w:rFonts w:hint="eastAsia" w:ascii="宋体" w:hAnsi="宋体" w:cs="宋体"/>
          <w:b/>
          <w:u w:val="single"/>
        </w:rPr>
        <w:fldChar w:fldCharType="begin"/>
      </w:r>
      <w:r>
        <w:rPr>
          <w:rFonts w:hint="eastAsia" w:ascii="宋体" w:hAnsi="宋体" w:cs="宋体"/>
          <w:b/>
          <w:u w:val="single"/>
        </w:rPr>
        <w:instrText xml:space="preserve"> = 1 \* GB3 \* MERGEFORMAT </w:instrText>
      </w:r>
      <w:r>
        <w:rPr>
          <w:rFonts w:hint="eastAsia" w:ascii="宋体" w:hAnsi="宋体" w:cs="宋体"/>
          <w:b/>
          <w:u w:val="single"/>
        </w:rPr>
        <w:fldChar w:fldCharType="separate"/>
      </w:r>
      <w:r>
        <w:t>①</w:t>
      </w:r>
      <w:r>
        <w:rPr>
          <w:rFonts w:hint="eastAsia" w:ascii="宋体" w:hAnsi="宋体" w:cs="宋体"/>
          <w:b/>
          <w:u w:val="single"/>
        </w:rPr>
        <w:fldChar w:fldCharType="end"/>
      </w:r>
      <w:r>
        <w:rPr>
          <w:rFonts w:hint="eastAsia" w:ascii="宋体" w:hAnsi="宋体" w:cs="宋体"/>
          <w:b/>
          <w:u w:val="single"/>
        </w:rPr>
        <w:t>承包人在开工前将水、电接至施工场地范围内，施工所需的水、电接驳费用已计入措施项目费用中。承包人进场后应自装管线及计量表具并经发包人认可，施工范围内发生的一切生产与生活用水、电费费用应装表计量</w:t>
      </w:r>
      <w:r>
        <w:rPr>
          <w:rFonts w:hint="eastAsia" w:ascii="宋体" w:hAnsi="宋体" w:cs="宋体"/>
          <w:b/>
        </w:rPr>
        <w:t>。</w:t>
      </w:r>
    </w:p>
    <w:p>
      <w:pPr>
        <w:spacing w:line="276" w:lineRule="auto"/>
        <w:rPr>
          <w:rFonts w:ascii="宋体" w:hAnsi="宋体" w:cs="宋体"/>
          <w:b/>
        </w:rPr>
      </w:pPr>
      <w:r>
        <w:rPr>
          <w:rFonts w:hint="eastAsia" w:ascii="宋体" w:hAnsi="宋体" w:cs="宋体"/>
          <w:b/>
          <w:u w:val="single"/>
        </w:rPr>
        <w:fldChar w:fldCharType="begin"/>
      </w:r>
      <w:r>
        <w:rPr>
          <w:rFonts w:hint="eastAsia" w:ascii="宋体" w:hAnsi="宋体" w:cs="宋体"/>
          <w:b/>
          <w:u w:val="single"/>
        </w:rPr>
        <w:instrText xml:space="preserve"> = 2 \* GB3 \* MERGEFORMAT </w:instrText>
      </w:r>
      <w:r>
        <w:rPr>
          <w:rFonts w:hint="eastAsia" w:ascii="宋体" w:hAnsi="宋体" w:cs="宋体"/>
          <w:b/>
          <w:u w:val="single"/>
        </w:rPr>
        <w:fldChar w:fldCharType="separate"/>
      </w:r>
      <w:r>
        <w:t>②</w:t>
      </w:r>
      <w:r>
        <w:rPr>
          <w:rFonts w:hint="eastAsia" w:ascii="宋体" w:hAnsi="宋体" w:cs="宋体"/>
          <w:b/>
          <w:u w:val="single"/>
        </w:rPr>
        <w:fldChar w:fldCharType="end"/>
      </w:r>
      <w:r>
        <w:rPr>
          <w:rFonts w:hint="eastAsia" w:ascii="宋体" w:hAnsi="宋体" w:cs="宋体"/>
          <w:b/>
          <w:u w:val="single"/>
        </w:rPr>
        <w:t>处理施工场地周围地下管线和邻近建筑物、构筑物(含文物保护建筑)、古树名木的保护工作，相关费用应包含在承包人措施费中，发包人不再另行支付</w:t>
      </w:r>
      <w:r>
        <w:rPr>
          <w:rFonts w:hint="eastAsia" w:ascii="宋体" w:hAnsi="宋体" w:cs="宋体"/>
          <w:b/>
        </w:rPr>
        <w:t xml:space="preserve"> 。</w:t>
      </w:r>
    </w:p>
    <w:p>
      <w:pPr>
        <w:spacing w:line="276" w:lineRule="auto"/>
        <w:rPr>
          <w:rFonts w:ascii="宋体" w:hAnsi="宋体" w:cs="宋体"/>
          <w:b/>
          <w:color w:val="FF0000"/>
          <w:u w:val="single"/>
        </w:rPr>
      </w:pPr>
      <w:r>
        <w:rPr>
          <w:rFonts w:hint="eastAsia" w:ascii="宋体" w:hAnsi="宋体" w:cs="宋体"/>
          <w:b/>
          <w:color w:val="FF0000"/>
          <w:u w:val="single"/>
        </w:rPr>
        <w:fldChar w:fldCharType="begin"/>
      </w:r>
      <w:r>
        <w:rPr>
          <w:rFonts w:hint="eastAsia" w:ascii="宋体" w:hAnsi="宋体" w:cs="宋体"/>
          <w:b/>
          <w:color w:val="FF0000"/>
          <w:u w:val="single"/>
        </w:rPr>
        <w:instrText xml:space="preserve"> = 3 \* GB3 \* MERGEFORMAT </w:instrText>
      </w:r>
      <w:r>
        <w:rPr>
          <w:rFonts w:hint="eastAsia" w:ascii="宋体" w:hAnsi="宋体" w:cs="宋体"/>
          <w:b/>
          <w:color w:val="FF0000"/>
          <w:u w:val="single"/>
        </w:rPr>
        <w:fldChar w:fldCharType="separate"/>
      </w:r>
      <w:r>
        <w:rPr>
          <w:color w:val="FF0000"/>
        </w:rPr>
        <w:t>③</w:t>
      </w:r>
      <w:r>
        <w:rPr>
          <w:rFonts w:hint="eastAsia" w:ascii="宋体" w:hAnsi="宋体" w:cs="宋体"/>
          <w:b/>
          <w:color w:val="FF0000"/>
          <w:u w:val="single"/>
        </w:rPr>
        <w:fldChar w:fldCharType="end"/>
      </w:r>
      <w:r>
        <w:rPr>
          <w:rFonts w:hint="eastAsia" w:ascii="宋体" w:hAnsi="宋体" w:cs="宋体"/>
          <w:b/>
          <w:color w:val="FF0000"/>
          <w:u w:val="single"/>
        </w:rPr>
        <w:t>承担施工区域的医院科室的防尘、降噪音、卫生洁净的要求。建立动用明火申请批准制度，配备一定数量的消防灭火器材等必要的安全措施，并按有关规定报批，另外还应抄送发包人备案，并实施二级监护。承包人在工程施工期间，必须建立安全用电制度，确保施工用电设备的完好，不得违章使用不符合规范的电气设施，必要的电气设施应该设置漏电保护装置等安全措施。</w:t>
      </w:r>
    </w:p>
    <w:p>
      <w:pPr>
        <w:spacing w:line="276" w:lineRule="auto"/>
        <w:rPr>
          <w:rFonts w:ascii="宋体" w:hAnsi="宋体" w:cs="宋体"/>
          <w:b/>
          <w:u w:val="single"/>
        </w:rPr>
      </w:pPr>
      <w:r>
        <w:rPr>
          <w:rFonts w:hint="eastAsia" w:ascii="宋体" w:hAnsi="宋体" w:cs="宋体"/>
          <w:b/>
          <w:u w:val="single"/>
        </w:rPr>
        <w:fldChar w:fldCharType="begin"/>
      </w:r>
      <w:r>
        <w:rPr>
          <w:rFonts w:hint="eastAsia" w:ascii="宋体" w:hAnsi="宋体" w:cs="宋体"/>
          <w:b/>
          <w:u w:val="single"/>
        </w:rPr>
        <w:instrText xml:space="preserve"> = 4 \* GB3 \* MERGEFORMAT </w:instrText>
      </w:r>
      <w:r>
        <w:rPr>
          <w:rFonts w:hint="eastAsia" w:ascii="宋体" w:hAnsi="宋体" w:cs="宋体"/>
          <w:b/>
          <w:u w:val="single"/>
        </w:rPr>
        <w:fldChar w:fldCharType="separate"/>
      </w:r>
      <w:r>
        <w:t>④</w:t>
      </w:r>
      <w:r>
        <w:rPr>
          <w:rFonts w:hint="eastAsia" w:ascii="宋体" w:hAnsi="宋体" w:cs="宋体"/>
          <w:b/>
          <w:u w:val="single"/>
        </w:rPr>
        <w:fldChar w:fldCharType="end"/>
      </w:r>
      <w:r>
        <w:rPr>
          <w:rFonts w:hint="eastAsia" w:ascii="宋体" w:hAnsi="宋体" w:cs="宋体"/>
          <w:b/>
          <w:u w:val="single"/>
        </w:rPr>
        <w:t>在工程完工未交付发包人之前，承包人须对已完成工程半成品、成品进行保护，相关费用由承包人承担。保护期间发生的损坏由承包人负责修复，并承担所发生的费用。如发包人有特殊要求的，所需费用双方另行协商。发包人提前使用后发生损坏的修复费用，由发包人承担。</w:t>
      </w:r>
    </w:p>
    <w:p>
      <w:pPr>
        <w:spacing w:line="276" w:lineRule="auto"/>
        <w:rPr>
          <w:rFonts w:ascii="宋体" w:hAnsi="宋体" w:cs="宋体"/>
          <w:b/>
          <w:u w:val="single"/>
        </w:rPr>
      </w:pPr>
      <w:r>
        <w:rPr>
          <w:rFonts w:hint="eastAsia" w:ascii="宋体" w:hAnsi="宋体" w:cs="宋体"/>
          <w:b/>
          <w:u w:val="single"/>
        </w:rPr>
        <w:fldChar w:fldCharType="begin"/>
      </w:r>
      <w:r>
        <w:rPr>
          <w:rFonts w:hint="eastAsia" w:ascii="宋体" w:hAnsi="宋体" w:cs="宋体"/>
          <w:b/>
          <w:u w:val="single"/>
        </w:rPr>
        <w:instrText xml:space="preserve"> = 5 \* GB3 \* MERGEFORMAT </w:instrText>
      </w:r>
      <w:r>
        <w:rPr>
          <w:rFonts w:hint="eastAsia" w:ascii="宋体" w:hAnsi="宋体" w:cs="宋体"/>
          <w:b/>
          <w:u w:val="single"/>
        </w:rPr>
        <w:fldChar w:fldCharType="separate"/>
      </w:r>
      <w:r>
        <w:t>⑤</w:t>
      </w:r>
      <w:r>
        <w:rPr>
          <w:rFonts w:hint="eastAsia" w:ascii="宋体" w:hAnsi="宋体" w:cs="宋体"/>
          <w:b/>
          <w:u w:val="single"/>
        </w:rPr>
        <w:fldChar w:fldCharType="end"/>
      </w:r>
      <w:r>
        <w:rPr>
          <w:rFonts w:hint="eastAsia" w:ascii="宋体" w:hAnsi="宋体" w:cs="宋体"/>
          <w:b/>
          <w:u w:val="single"/>
        </w:rPr>
        <w:t>承包人按照相关要求对施工场地周围地下管线和邻近建筑物、构筑物(含文物保护建筑)、古树名木进行保护，违反有关规定造成的损失和罚款，其费用由承包人承担。对由于承包人在施工过程造成的地下管线和各类建筑物、构筑物的损坏，承包人应负全部责任，并承担由此而产生的一切赔偿</w:t>
      </w:r>
      <w:r>
        <w:rPr>
          <w:rFonts w:hint="eastAsia" w:ascii="宋体" w:hAnsi="宋体" w:cs="宋体"/>
          <w:b/>
        </w:rPr>
        <w:t>。</w:t>
      </w:r>
    </w:p>
    <w:p>
      <w:pPr>
        <w:spacing w:line="276" w:lineRule="auto"/>
        <w:rPr>
          <w:rFonts w:ascii="宋体" w:hAnsi="宋体" w:cs="宋体"/>
          <w:b/>
        </w:rPr>
      </w:pPr>
      <w:r>
        <w:rPr>
          <w:rFonts w:hint="eastAsia" w:ascii="宋体" w:hAnsi="宋体" w:cs="宋体"/>
          <w:b/>
          <w:u w:val="single"/>
        </w:rPr>
        <w:fldChar w:fldCharType="begin"/>
      </w:r>
      <w:r>
        <w:rPr>
          <w:rFonts w:hint="eastAsia" w:ascii="宋体" w:hAnsi="宋体" w:cs="宋体"/>
          <w:b/>
          <w:u w:val="single"/>
        </w:rPr>
        <w:instrText xml:space="preserve"> = 6 \* GB3 \* MERGEFORMAT </w:instrText>
      </w:r>
      <w:r>
        <w:rPr>
          <w:rFonts w:hint="eastAsia" w:ascii="宋体" w:hAnsi="宋体" w:cs="宋体"/>
          <w:b/>
          <w:u w:val="single"/>
        </w:rPr>
        <w:fldChar w:fldCharType="separate"/>
      </w:r>
      <w:r>
        <w:t>⑥</w:t>
      </w:r>
      <w:r>
        <w:rPr>
          <w:rFonts w:hint="eastAsia" w:ascii="宋体" w:hAnsi="宋体" w:cs="宋体"/>
          <w:b/>
          <w:u w:val="single"/>
        </w:rPr>
        <w:fldChar w:fldCharType="end"/>
      </w:r>
      <w:r>
        <w:rPr>
          <w:rFonts w:hint="eastAsia" w:ascii="宋体" w:hAnsi="宋体" w:cs="宋体"/>
          <w:b/>
          <w:u w:val="single"/>
        </w:rPr>
        <w:t>开工前承包人应对施工图纸认真核查，积极配合发包人做好施工图纸交底及会审工作，在承包人拿到施工图15天内应指出图纸上不符合施工常规或惯例之处（如有）。如因承包人未能全面履行此项义务而造成工程费用增加和工期损失，承包人将承担全部费用，工期不予顺延</w:t>
      </w:r>
      <w:r>
        <w:rPr>
          <w:rFonts w:hint="eastAsia" w:ascii="宋体" w:hAnsi="宋体" w:cs="宋体"/>
          <w:b/>
        </w:rPr>
        <w:t>。</w:t>
      </w:r>
    </w:p>
    <w:p>
      <w:pPr>
        <w:spacing w:line="276" w:lineRule="auto"/>
        <w:rPr>
          <w:rFonts w:ascii="宋体" w:hAnsi="宋体" w:cs="宋体"/>
          <w:b/>
          <w:u w:val="single"/>
        </w:rPr>
      </w:pPr>
      <w:r>
        <w:rPr>
          <w:rFonts w:hint="eastAsia" w:ascii="宋体" w:hAnsi="宋体" w:cs="宋体"/>
          <w:b/>
          <w:u w:val="single"/>
        </w:rPr>
        <w:fldChar w:fldCharType="begin"/>
      </w:r>
      <w:r>
        <w:rPr>
          <w:rFonts w:hint="eastAsia" w:ascii="宋体" w:hAnsi="宋体" w:cs="宋体"/>
          <w:b/>
          <w:u w:val="single"/>
        </w:rPr>
        <w:instrText xml:space="preserve"> = 7 \* GB3 \* MERGEFORMAT </w:instrText>
      </w:r>
      <w:r>
        <w:rPr>
          <w:rFonts w:hint="eastAsia" w:ascii="宋体" w:hAnsi="宋体" w:cs="宋体"/>
          <w:b/>
          <w:u w:val="single"/>
        </w:rPr>
        <w:fldChar w:fldCharType="separate"/>
      </w:r>
      <w:r>
        <w:t>⑦</w:t>
      </w:r>
      <w:r>
        <w:rPr>
          <w:rFonts w:hint="eastAsia" w:ascii="宋体" w:hAnsi="宋体" w:cs="宋体"/>
          <w:b/>
          <w:u w:val="single"/>
        </w:rPr>
        <w:fldChar w:fldCharType="end"/>
      </w:r>
      <w:r>
        <w:rPr>
          <w:rFonts w:hint="eastAsia" w:ascii="宋体" w:hAnsi="宋体" w:cs="宋体"/>
          <w:b/>
          <w:u w:val="single"/>
        </w:rPr>
        <w:t xml:space="preserve">承包人必须按照招标文件要求以及投标文件所列项目管理班子配备具有相应资质证书的技术负责人、施工员、质量员、专职的安全员等常驻工地的管理人员以满足工程需要。承包人委派的上述人员明显不能满足工程需要的，必须在24小时内调离本工程范围，否则每人次承包人支付违约金10000元；同时承包人应在3天内任用发包人批准的合格的人员代替上述调离的人员。 </w:t>
      </w:r>
    </w:p>
    <w:p>
      <w:pPr>
        <w:spacing w:after="120" w:line="276" w:lineRule="auto"/>
        <w:ind w:firstLine="422" w:firstLineChars="200"/>
        <w:rPr>
          <w:rFonts w:ascii="宋体" w:hAnsi="宋体" w:cs="宋体"/>
          <w:b/>
        </w:rPr>
      </w:pPr>
      <w:r>
        <w:rPr>
          <w:rFonts w:hint="eastAsia" w:ascii="宋体" w:hAnsi="宋体" w:cs="宋体"/>
          <w:b/>
        </w:rPr>
        <w:t>3.2 项目经理</w:t>
      </w:r>
    </w:p>
    <w:p>
      <w:pPr>
        <w:spacing w:line="276" w:lineRule="auto"/>
        <w:ind w:firstLine="422" w:firstLineChars="200"/>
        <w:rPr>
          <w:rFonts w:ascii="宋体" w:hAnsi="宋体" w:cs="宋体"/>
          <w:b/>
        </w:rPr>
      </w:pPr>
      <w:r>
        <w:rPr>
          <w:rFonts w:hint="eastAsia" w:ascii="宋体" w:hAnsi="宋体" w:cs="宋体"/>
          <w:b/>
        </w:rPr>
        <w:t>3.2.1 项目经理：</w:t>
      </w:r>
    </w:p>
    <w:p>
      <w:pPr>
        <w:spacing w:line="276" w:lineRule="auto"/>
        <w:ind w:firstLine="422" w:firstLineChars="200"/>
        <w:rPr>
          <w:rFonts w:ascii="宋体" w:hAnsi="宋体" w:cs="宋体"/>
          <w:b/>
          <w:u w:val="single"/>
        </w:rPr>
      </w:pPr>
      <w:r>
        <w:rPr>
          <w:rFonts w:hint="eastAsia" w:ascii="宋体" w:hAnsi="宋体" w:cs="宋体"/>
          <w:b/>
          <w:u w:val="single"/>
        </w:rPr>
        <w:t>姓    名：         ；</w:t>
      </w:r>
    </w:p>
    <w:p>
      <w:pPr>
        <w:spacing w:line="276" w:lineRule="auto"/>
        <w:ind w:firstLine="422" w:firstLineChars="200"/>
        <w:rPr>
          <w:rFonts w:ascii="宋体" w:hAnsi="宋体" w:cs="宋体"/>
          <w:b/>
          <w:u w:val="single"/>
        </w:rPr>
      </w:pPr>
      <w:r>
        <w:rPr>
          <w:rFonts w:hint="eastAsia" w:ascii="宋体" w:hAnsi="宋体" w:cs="宋体"/>
          <w:b/>
          <w:u w:val="single"/>
        </w:rPr>
        <w:t>身份证号：         ；</w:t>
      </w:r>
    </w:p>
    <w:p>
      <w:pPr>
        <w:spacing w:line="276" w:lineRule="auto"/>
        <w:ind w:firstLine="422" w:firstLineChars="200"/>
        <w:rPr>
          <w:rFonts w:ascii="宋体" w:hAnsi="宋体" w:cs="宋体"/>
          <w:b/>
          <w:u w:val="single"/>
        </w:rPr>
      </w:pPr>
      <w:r>
        <w:rPr>
          <w:rFonts w:hint="eastAsia" w:ascii="宋体" w:hAnsi="宋体" w:cs="宋体"/>
          <w:b/>
          <w:u w:val="single"/>
        </w:rPr>
        <w:t>建造师执业资格等级：   ；</w:t>
      </w:r>
    </w:p>
    <w:p>
      <w:pPr>
        <w:spacing w:line="276" w:lineRule="auto"/>
        <w:ind w:firstLine="422" w:firstLineChars="200"/>
        <w:rPr>
          <w:rFonts w:ascii="宋体" w:hAnsi="宋体" w:cs="宋体"/>
          <w:b/>
          <w:u w:val="single"/>
        </w:rPr>
      </w:pPr>
      <w:r>
        <w:rPr>
          <w:rFonts w:hint="eastAsia" w:ascii="宋体" w:hAnsi="宋体" w:cs="宋体"/>
          <w:b/>
          <w:u w:val="single"/>
        </w:rPr>
        <w:t>建造师注册证书号： ；</w:t>
      </w:r>
    </w:p>
    <w:p>
      <w:pPr>
        <w:spacing w:line="276" w:lineRule="auto"/>
        <w:ind w:firstLine="422" w:firstLineChars="200"/>
        <w:rPr>
          <w:rFonts w:ascii="宋体" w:hAnsi="宋体" w:cs="宋体"/>
          <w:b/>
          <w:u w:val="single"/>
        </w:rPr>
      </w:pPr>
      <w:r>
        <w:rPr>
          <w:rFonts w:hint="eastAsia" w:ascii="宋体" w:hAnsi="宋体" w:cs="宋体"/>
          <w:b/>
          <w:u w:val="single"/>
        </w:rPr>
        <w:t>建造师执业印章号： ；</w:t>
      </w:r>
    </w:p>
    <w:p>
      <w:pPr>
        <w:spacing w:line="276" w:lineRule="auto"/>
        <w:ind w:firstLine="422" w:firstLineChars="200"/>
        <w:rPr>
          <w:rFonts w:ascii="宋体" w:hAnsi="宋体" w:cs="宋体"/>
          <w:b/>
          <w:u w:val="single"/>
        </w:rPr>
      </w:pPr>
      <w:r>
        <w:rPr>
          <w:rFonts w:hint="eastAsia" w:ascii="宋体" w:hAnsi="宋体" w:cs="宋体"/>
          <w:b/>
          <w:u w:val="single"/>
        </w:rPr>
        <w:t>安全生产考核合格证书号： ；</w:t>
      </w:r>
    </w:p>
    <w:p>
      <w:pPr>
        <w:spacing w:line="276" w:lineRule="auto"/>
        <w:ind w:firstLine="422" w:firstLineChars="200"/>
        <w:rPr>
          <w:rFonts w:ascii="宋体" w:hAnsi="宋体" w:cs="宋体"/>
        </w:rPr>
      </w:pPr>
      <w:r>
        <w:rPr>
          <w:rFonts w:hint="eastAsia" w:ascii="宋体" w:hAnsi="宋体" w:cs="宋体"/>
          <w:b/>
          <w:u w:val="single"/>
        </w:rPr>
        <w:t xml:space="preserve">联系电话：      </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电子信箱：</w:t>
      </w:r>
      <w:r>
        <w:rPr>
          <w:rFonts w:hint="eastAsia" w:ascii="宋体" w:hAnsi="宋体" w:cs="宋体"/>
          <w:u w:val="single"/>
        </w:rPr>
        <w:t>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通信地址：</w:t>
      </w:r>
      <w:r>
        <w:rPr>
          <w:rFonts w:hint="eastAsia" w:ascii="宋体" w:hAnsi="宋体" w:cs="宋体"/>
          <w:u w:val="single"/>
        </w:rPr>
        <w:t>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承包人对项目经理的授权范围如下：</w:t>
      </w:r>
      <w:r>
        <w:rPr>
          <w:rFonts w:hint="eastAsia" w:ascii="宋体" w:hAnsi="宋体" w:cs="宋体"/>
          <w:u w:val="single"/>
        </w:rPr>
        <w:t></w:t>
      </w:r>
      <w:r>
        <w:rPr>
          <w:rFonts w:hint="eastAsia" w:ascii="宋体" w:hAnsi="宋体" w:cs="宋体"/>
        </w:rPr>
        <w:t>。</w:t>
      </w:r>
    </w:p>
    <w:p>
      <w:pPr>
        <w:spacing w:line="276" w:lineRule="auto"/>
        <w:ind w:firstLine="420" w:firstLineChars="200"/>
        <w:rPr>
          <w:rFonts w:ascii="宋体" w:hAnsi="宋体" w:cs="宋体"/>
          <w:b/>
        </w:rPr>
      </w:pPr>
      <w:r>
        <w:rPr>
          <w:rFonts w:hint="eastAsia" w:ascii="宋体" w:hAnsi="宋体" w:cs="宋体"/>
        </w:rPr>
        <w:t>关于项目经理每月在施工现场的时间要求：</w:t>
      </w:r>
      <w:r>
        <w:rPr>
          <w:rFonts w:hint="eastAsia" w:ascii="宋体" w:hAnsi="宋体" w:cs="宋体"/>
          <w:b/>
          <w:u w:val="single"/>
        </w:rPr>
        <w:t>施工期间，驻工地时间每月不少于22天，每天不少于8小时</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承包人未提交项目经理劳动合同，以及没有为项目经理缴纳社会保险证明的违约责任：</w:t>
      </w:r>
      <w:r>
        <w:rPr>
          <w:rFonts w:hint="eastAsia" w:ascii="宋体" w:hAnsi="宋体" w:cs="宋体"/>
          <w:b/>
          <w:u w:val="single"/>
        </w:rPr>
        <w:t>由承包人承担由此带来的所有责任，并承担由此给发包人带来的所有损失</w:t>
      </w:r>
      <w:r>
        <w:rPr>
          <w:rFonts w:hint="eastAsia" w:ascii="宋体" w:hAnsi="宋体" w:cs="宋体"/>
          <w:b/>
        </w:rPr>
        <w:t>。</w:t>
      </w:r>
    </w:p>
    <w:p>
      <w:pPr>
        <w:spacing w:line="276" w:lineRule="auto"/>
        <w:ind w:firstLine="420" w:firstLineChars="200"/>
        <w:rPr>
          <w:rFonts w:ascii="宋体" w:hAnsi="宋体" w:cs="宋体"/>
          <w:b/>
          <w:u w:val="single"/>
        </w:rPr>
      </w:pPr>
      <w:r>
        <w:rPr>
          <w:rFonts w:hint="eastAsia" w:ascii="宋体" w:hAnsi="宋体" w:cs="宋体"/>
        </w:rPr>
        <w:t>项目经理未经批准，擅自离开施工现场的违约责任：</w:t>
      </w:r>
      <w:r>
        <w:rPr>
          <w:rFonts w:hint="eastAsia" w:ascii="宋体" w:hAnsi="宋体" w:cs="宋体"/>
          <w:b/>
          <w:u w:val="single"/>
        </w:rPr>
        <w:t>项目经理必须参加每周工程例会等各类发包人召开的会议，因故不能参加的应提前24小时向发包人提出申请并在获得发包人批准后方可缺席，因故外出必须提前1天向总监理工程师提出申请并经审批、发包人认可后才能外出，否则承包人向发包人支付违约金人民币1万元/次。</w:t>
      </w:r>
    </w:p>
    <w:p>
      <w:pPr>
        <w:spacing w:line="276" w:lineRule="auto"/>
        <w:ind w:firstLine="420" w:firstLineChars="200"/>
        <w:rPr>
          <w:rFonts w:ascii="宋体" w:hAnsi="宋体" w:cs="宋体"/>
        </w:rPr>
      </w:pPr>
      <w:r>
        <w:rPr>
          <w:rFonts w:hint="eastAsia" w:ascii="宋体" w:hAnsi="宋体" w:cs="宋体"/>
        </w:rPr>
        <w:t>3.2.3 承包人擅自更换项目经理的违约责任：</w:t>
      </w:r>
      <w:r>
        <w:rPr>
          <w:rFonts w:hint="eastAsia" w:ascii="宋体" w:hAnsi="宋体" w:cs="宋体"/>
          <w:b/>
          <w:u w:val="single"/>
        </w:rPr>
        <w:t>未经发包人同意，承包人不得更换项目经理，否则发包人有权要求原项目经理在指定时间内重返工作岗位，且须向发包人支付1万元的违约金。</w:t>
      </w:r>
    </w:p>
    <w:p>
      <w:pPr>
        <w:spacing w:line="276" w:lineRule="auto"/>
        <w:ind w:firstLine="465"/>
        <w:rPr>
          <w:rFonts w:ascii="宋体" w:hAnsi="宋体" w:cs="宋体"/>
        </w:rPr>
      </w:pPr>
      <w:r>
        <w:rPr>
          <w:rFonts w:hint="eastAsia" w:ascii="宋体" w:hAnsi="宋体" w:cs="宋体"/>
        </w:rPr>
        <w:t>3.2.4 承包人无正当理由拒绝更换项目经理的违约责任：</w:t>
      </w:r>
      <w:r>
        <w:rPr>
          <w:rFonts w:hint="eastAsia" w:ascii="宋体" w:hAnsi="宋体" w:cs="宋体"/>
          <w:b/>
          <w:u w:val="single"/>
        </w:rPr>
        <w:t>如承包人的项目经理上岗后能力不能满足发包人要求，发包人有权要求承包人更换，且无需说明理由</w:t>
      </w:r>
      <w:r>
        <w:rPr>
          <w:rFonts w:hint="eastAsia" w:ascii="宋体" w:hAnsi="宋体" w:cs="宋体"/>
          <w:b/>
        </w:rPr>
        <w:t>。</w:t>
      </w:r>
    </w:p>
    <w:p>
      <w:pPr>
        <w:spacing w:after="120" w:line="276" w:lineRule="auto"/>
        <w:ind w:firstLine="420" w:firstLineChars="200"/>
        <w:rPr>
          <w:rFonts w:ascii="宋体" w:hAnsi="宋体" w:cs="宋体"/>
        </w:rPr>
      </w:pPr>
      <w:r>
        <w:rPr>
          <w:rFonts w:hint="eastAsia" w:ascii="宋体" w:hAnsi="宋体" w:cs="宋体"/>
        </w:rPr>
        <w:t>3.3 承包人人员</w:t>
      </w:r>
    </w:p>
    <w:p>
      <w:pPr>
        <w:spacing w:line="276" w:lineRule="auto"/>
        <w:ind w:firstLine="420" w:firstLineChars="200"/>
        <w:rPr>
          <w:rFonts w:ascii="宋体" w:hAnsi="宋体" w:cs="宋体"/>
        </w:rPr>
      </w:pPr>
      <w:r>
        <w:rPr>
          <w:rFonts w:hint="eastAsia" w:ascii="宋体" w:hAnsi="宋体" w:cs="宋体"/>
        </w:rPr>
        <w:t>3.3.1 承包人提交项目管理机构及施工现场管理人员安排报告的期限：</w:t>
      </w:r>
      <w:r>
        <w:rPr>
          <w:rFonts w:hint="eastAsia" w:ascii="宋体" w:hAnsi="宋体" w:cs="宋体"/>
          <w:b/>
          <w:u w:val="single"/>
        </w:rPr>
        <w:t>工程开工前7天</w:t>
      </w:r>
      <w:r>
        <w:rPr>
          <w:rFonts w:hint="eastAsia" w:ascii="宋体" w:hAnsi="宋体" w:cs="宋体"/>
          <w:b/>
        </w:rPr>
        <w:t>。</w:t>
      </w:r>
    </w:p>
    <w:p>
      <w:pPr>
        <w:spacing w:line="276" w:lineRule="auto"/>
        <w:ind w:firstLine="420" w:firstLineChars="200"/>
        <w:rPr>
          <w:rFonts w:ascii="宋体" w:hAnsi="宋体" w:cs="宋体"/>
          <w:b/>
          <w:u w:val="single"/>
        </w:rPr>
      </w:pPr>
      <w:r>
        <w:rPr>
          <w:rFonts w:hint="eastAsia" w:ascii="宋体" w:hAnsi="宋体" w:cs="宋体"/>
        </w:rPr>
        <w:t>3.3.3 承包人无正当理由拒绝撤换主要施工管理人员的违约责任：</w:t>
      </w:r>
      <w:r>
        <w:rPr>
          <w:rFonts w:hint="eastAsia" w:ascii="宋体" w:hAnsi="宋体" w:cs="宋体"/>
          <w:b/>
          <w:u w:val="single"/>
        </w:rPr>
        <w:t>如承包人的主要施工管理人员上岗后能力不能满足发包人要求，发包人有权要求承包人更换，且无需说明理由。</w:t>
      </w:r>
      <w:r>
        <w:rPr>
          <w:rFonts w:hint="eastAsia" w:ascii="宋体" w:hAnsi="宋体" w:cs="宋体"/>
        </w:rPr>
        <w:t>3.3.4 承包人主要施工管理人员离开施工现场的批准要求：</w:t>
      </w:r>
      <w:r>
        <w:rPr>
          <w:rFonts w:hint="eastAsia" w:ascii="宋体" w:hAnsi="宋体" w:cs="宋体"/>
          <w:b/>
          <w:u w:val="single"/>
        </w:rPr>
        <w:t>主要管理人员必须常驻工程施工现场，并且每个月在现场时间不得少于22天，每天不少于8小时。</w:t>
      </w:r>
    </w:p>
    <w:p>
      <w:pPr>
        <w:spacing w:line="276" w:lineRule="auto"/>
        <w:ind w:firstLine="420" w:firstLineChars="200"/>
        <w:rPr>
          <w:rFonts w:ascii="宋体" w:hAnsi="宋体" w:cs="宋体"/>
        </w:rPr>
      </w:pPr>
      <w:r>
        <w:rPr>
          <w:rFonts w:hint="eastAsia" w:ascii="宋体" w:hAnsi="宋体" w:cs="宋体"/>
        </w:rPr>
        <w:t>3.3.5承包人擅自更换主要施工管理人员的违约责任：</w:t>
      </w:r>
      <w:r>
        <w:rPr>
          <w:rFonts w:hint="eastAsia" w:ascii="宋体" w:hAnsi="宋体" w:cs="宋体"/>
          <w:b/>
          <w:u w:val="single"/>
        </w:rPr>
        <w:t>处以每人5000元/人次 罚款（直接从履约担保中扣除）</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承包人主要施工管理人员擅自离开施工现场的违约责任：</w:t>
      </w:r>
      <w:r>
        <w:rPr>
          <w:rFonts w:hint="eastAsia" w:ascii="宋体" w:hAnsi="宋体" w:cs="宋体"/>
          <w:b/>
          <w:u w:val="single"/>
        </w:rPr>
        <w:t>处以每人2000元/人次 罚款（直接从履约担保中扣除）</w:t>
      </w:r>
      <w:r>
        <w:rPr>
          <w:rFonts w:hint="eastAsia" w:ascii="宋体" w:hAnsi="宋体" w:cs="宋体"/>
          <w:b/>
        </w:rPr>
        <w:t>。</w:t>
      </w:r>
    </w:p>
    <w:p>
      <w:pPr>
        <w:spacing w:after="120" w:line="276" w:lineRule="auto"/>
        <w:ind w:firstLine="420" w:firstLineChars="200"/>
        <w:rPr>
          <w:rFonts w:ascii="宋体" w:hAnsi="宋体" w:cs="宋体"/>
        </w:rPr>
      </w:pPr>
      <w:r>
        <w:rPr>
          <w:rFonts w:hint="eastAsia" w:ascii="宋体" w:hAnsi="宋体" w:cs="宋体"/>
        </w:rPr>
        <w:t>3.5 分包</w:t>
      </w:r>
    </w:p>
    <w:p>
      <w:pPr>
        <w:spacing w:line="276" w:lineRule="auto"/>
        <w:ind w:firstLine="420" w:firstLineChars="200"/>
        <w:rPr>
          <w:rFonts w:ascii="宋体" w:hAnsi="宋体" w:cs="宋体"/>
        </w:rPr>
      </w:pPr>
      <w:r>
        <w:rPr>
          <w:rFonts w:hint="eastAsia" w:ascii="宋体" w:hAnsi="宋体" w:cs="宋体"/>
        </w:rPr>
        <w:t>3.5.1 分包的一般约定</w:t>
      </w:r>
    </w:p>
    <w:p>
      <w:pPr>
        <w:spacing w:line="276" w:lineRule="auto"/>
        <w:ind w:firstLine="420" w:firstLineChars="200"/>
        <w:rPr>
          <w:rFonts w:ascii="宋体" w:hAnsi="宋体" w:cs="宋体"/>
        </w:rPr>
      </w:pPr>
      <w:r>
        <w:rPr>
          <w:rFonts w:hint="eastAsia" w:ascii="宋体" w:hAnsi="宋体" w:cs="宋体"/>
        </w:rPr>
        <w:t>禁止分包的工程包括：</w:t>
      </w:r>
      <w:r>
        <w:rPr>
          <w:rFonts w:hint="eastAsia" w:ascii="宋体" w:hAnsi="宋体" w:cs="宋体"/>
          <w:u w:val="single"/>
        </w:rPr>
        <w:t xml:space="preserve"> 本工程禁止分包 </w:t>
      </w:r>
      <w:r>
        <w:rPr>
          <w:rFonts w:hint="eastAsia" w:ascii="宋体" w:hAnsi="宋体" w:cs="宋体"/>
          <w:b/>
          <w:u w:val="single"/>
        </w:rPr>
        <w:t>。</w:t>
      </w:r>
    </w:p>
    <w:p>
      <w:pPr>
        <w:spacing w:line="276" w:lineRule="auto"/>
        <w:ind w:firstLine="420" w:firstLineChars="200"/>
        <w:rPr>
          <w:rFonts w:ascii="宋体" w:hAnsi="宋体" w:cs="宋体"/>
          <w:b/>
        </w:rPr>
      </w:pPr>
      <w:r>
        <w:rPr>
          <w:rFonts w:hint="eastAsia" w:ascii="宋体" w:hAnsi="宋体" w:cs="宋体"/>
        </w:rPr>
        <w:t xml:space="preserve">主体结构、关键性工作的范围： </w:t>
      </w:r>
      <w:r>
        <w:rPr>
          <w:rFonts w:hint="eastAsia" w:ascii="宋体" w:hAnsi="宋体" w:cs="宋体"/>
          <w:u w:val="single"/>
        </w:rPr>
        <w:t xml:space="preserve">  /</w:t>
      </w:r>
      <w:r>
        <w:rPr>
          <w:rFonts w:hint="eastAsia" w:ascii="宋体" w:hAnsi="宋体" w:cs="宋体"/>
          <w:b/>
          <w:u w:val="single"/>
        </w:rPr>
        <w:t xml:space="preserve"> </w:t>
      </w:r>
      <w:r>
        <w:rPr>
          <w:rFonts w:hint="eastAsia" w:ascii="宋体" w:hAnsi="宋体" w:cs="宋体"/>
          <w:b/>
        </w:rPr>
        <w:t xml:space="preserve">。 </w:t>
      </w:r>
    </w:p>
    <w:p>
      <w:pPr>
        <w:spacing w:line="276" w:lineRule="auto"/>
        <w:ind w:firstLine="315" w:firstLineChars="150"/>
        <w:rPr>
          <w:rFonts w:ascii="宋体" w:hAnsi="宋体" w:cs="宋体"/>
        </w:rPr>
      </w:pPr>
      <w:r>
        <w:rPr>
          <w:rFonts w:hint="eastAsia" w:ascii="宋体" w:hAnsi="宋体" w:cs="宋体"/>
        </w:rPr>
        <w:t>本工程发包人同意承包人分包的工程：</w:t>
      </w:r>
      <w:r>
        <w:rPr>
          <w:rFonts w:hint="eastAsia" w:ascii="宋体" w:hAnsi="宋体" w:cs="宋体"/>
          <w:b/>
          <w:u w:val="single"/>
        </w:rPr>
        <w:t xml:space="preserve">  / </w:t>
      </w:r>
      <w:r>
        <w:rPr>
          <w:rFonts w:hint="eastAsia" w:ascii="宋体" w:hAnsi="宋体" w:cs="宋体"/>
          <w:b/>
        </w:rPr>
        <w:t>。</w:t>
      </w:r>
    </w:p>
    <w:p>
      <w:pPr>
        <w:spacing w:line="276" w:lineRule="auto"/>
        <w:ind w:firstLine="315" w:firstLineChars="150"/>
        <w:rPr>
          <w:rFonts w:ascii="宋体" w:hAnsi="宋体" w:cs="宋体"/>
        </w:rPr>
      </w:pPr>
      <w:r>
        <w:rPr>
          <w:rFonts w:hint="eastAsia" w:ascii="宋体" w:hAnsi="宋体" w:cs="宋体"/>
        </w:rPr>
        <w:t>本工程发包人指定分包商的分包工程：</w:t>
      </w:r>
      <w:r>
        <w:rPr>
          <w:rFonts w:hint="eastAsia" w:ascii="宋体" w:hAnsi="宋体" w:cs="宋体"/>
          <w:b/>
          <w:u w:val="single"/>
        </w:rPr>
        <w:t xml:space="preserve">  / </w:t>
      </w:r>
      <w:r>
        <w:rPr>
          <w:rFonts w:hint="eastAsia" w:ascii="宋体" w:hAnsi="宋体" w:cs="宋体"/>
          <w:b/>
        </w:rPr>
        <w:t>。</w:t>
      </w:r>
    </w:p>
    <w:p>
      <w:pPr>
        <w:spacing w:line="276" w:lineRule="auto"/>
        <w:rPr>
          <w:rFonts w:ascii="宋体" w:hAnsi="宋体" w:cs="宋体"/>
        </w:rPr>
      </w:pPr>
      <w:r>
        <w:rPr>
          <w:rFonts w:hint="eastAsia" w:ascii="宋体" w:hAnsi="宋体" w:cs="宋体"/>
        </w:rPr>
        <w:t xml:space="preserve">    3.5.2分包的确定</w:t>
      </w:r>
    </w:p>
    <w:p>
      <w:pPr>
        <w:spacing w:line="276" w:lineRule="auto"/>
        <w:ind w:firstLine="420" w:firstLineChars="200"/>
        <w:rPr>
          <w:rFonts w:ascii="宋体" w:hAnsi="宋体" w:cs="宋体"/>
          <w:b/>
        </w:rPr>
      </w:pPr>
      <w:r>
        <w:rPr>
          <w:rFonts w:hint="eastAsia" w:ascii="宋体" w:hAnsi="宋体" w:cs="宋体"/>
        </w:rPr>
        <w:t>允许分包的专业工程包括：</w:t>
      </w:r>
      <w:r>
        <w:rPr>
          <w:rFonts w:hint="eastAsia" w:ascii="宋体" w:hAnsi="宋体" w:cs="宋体"/>
          <w:b/>
          <w:u w:val="single"/>
        </w:rPr>
        <w:t xml:space="preserve">  / </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其他关于分包的约定：</w:t>
      </w:r>
      <w:r>
        <w:rPr>
          <w:rFonts w:hint="eastAsia" w:ascii="宋体" w:hAnsi="宋体" w:cs="宋体"/>
          <w:b/>
          <w:u w:val="single"/>
        </w:rPr>
        <w:t xml:space="preserve">  /</w:t>
      </w:r>
      <w:r>
        <w:rPr>
          <w:rFonts w:hint="eastAsia" w:ascii="宋体" w:hAnsi="宋体" w:cs="宋体"/>
          <w:b/>
        </w:rPr>
        <w:t xml:space="preserve">。 </w:t>
      </w:r>
    </w:p>
    <w:p>
      <w:pPr>
        <w:spacing w:line="276" w:lineRule="auto"/>
        <w:ind w:firstLine="420" w:firstLineChars="200"/>
        <w:rPr>
          <w:rFonts w:ascii="宋体" w:hAnsi="宋体" w:cs="宋体"/>
        </w:rPr>
      </w:pPr>
      <w:r>
        <w:rPr>
          <w:rFonts w:hint="eastAsia" w:ascii="宋体" w:hAnsi="宋体" w:cs="宋体"/>
        </w:rPr>
        <w:t>3.5.4 分包合同价款</w:t>
      </w:r>
    </w:p>
    <w:p>
      <w:pPr>
        <w:spacing w:line="276" w:lineRule="auto"/>
        <w:ind w:firstLine="420" w:firstLineChars="200"/>
        <w:rPr>
          <w:rFonts w:ascii="宋体" w:hAnsi="宋体" w:cs="宋体"/>
        </w:rPr>
      </w:pPr>
      <w:r>
        <w:rPr>
          <w:rFonts w:hint="eastAsia" w:ascii="宋体" w:hAnsi="宋体" w:cs="宋体"/>
        </w:rPr>
        <w:t>关于分包合同价款支付的约定：</w:t>
      </w:r>
      <w:r>
        <w:rPr>
          <w:rFonts w:hint="eastAsia" w:ascii="宋体" w:hAnsi="宋体" w:cs="宋体"/>
          <w:b/>
          <w:u w:val="single"/>
        </w:rPr>
        <w:t xml:space="preserve"> /  </w:t>
      </w:r>
      <w:r>
        <w:rPr>
          <w:rFonts w:hint="eastAsia" w:ascii="宋体" w:hAnsi="宋体" w:cs="宋体"/>
          <w:b/>
        </w:rPr>
        <w:t>。</w:t>
      </w:r>
    </w:p>
    <w:p>
      <w:pPr>
        <w:spacing w:after="120" w:line="276" w:lineRule="auto"/>
        <w:ind w:firstLine="420" w:firstLineChars="200"/>
        <w:rPr>
          <w:rFonts w:ascii="宋体" w:hAnsi="宋体" w:cs="宋体"/>
        </w:rPr>
      </w:pPr>
      <w:r>
        <w:rPr>
          <w:rFonts w:hint="eastAsia" w:ascii="宋体" w:hAnsi="宋体" w:cs="宋体"/>
        </w:rPr>
        <w:t>3.6 工程照管与成品、半成品保护</w:t>
      </w:r>
    </w:p>
    <w:p>
      <w:pPr>
        <w:spacing w:before="120" w:after="120" w:line="276" w:lineRule="auto"/>
        <w:ind w:firstLine="420" w:firstLineChars="200"/>
        <w:rPr>
          <w:rFonts w:ascii="宋体" w:hAnsi="宋体" w:cs="宋体"/>
        </w:rPr>
      </w:pPr>
      <w:r>
        <w:rPr>
          <w:rFonts w:hint="eastAsia" w:ascii="宋体" w:hAnsi="宋体" w:cs="宋体"/>
        </w:rPr>
        <w:t>承包人负责照管工程及工程相关的材料、工程设备的起始时间：</w:t>
      </w:r>
      <w:r>
        <w:rPr>
          <w:rFonts w:hint="eastAsia" w:ascii="宋体" w:hAnsi="宋体" w:cs="宋体"/>
          <w:b/>
          <w:u w:val="single"/>
        </w:rPr>
        <w:t>设备、人员进场至验收交付使用前由承包人负责保修，无其它特殊要求的，费用由承包人承担</w:t>
      </w:r>
      <w:r>
        <w:rPr>
          <w:rFonts w:hint="eastAsia" w:ascii="宋体" w:hAnsi="宋体" w:cs="宋体"/>
          <w:b/>
        </w:rPr>
        <w:t>。</w:t>
      </w:r>
    </w:p>
    <w:p>
      <w:pPr>
        <w:spacing w:after="120" w:line="276" w:lineRule="auto"/>
        <w:ind w:firstLine="420" w:firstLineChars="200"/>
        <w:rPr>
          <w:rFonts w:ascii="宋体" w:hAnsi="宋体" w:cs="宋体"/>
        </w:rPr>
      </w:pPr>
      <w:r>
        <w:rPr>
          <w:rFonts w:hint="eastAsia" w:ascii="宋体" w:hAnsi="宋体" w:cs="宋体"/>
        </w:rPr>
        <w:t>3.7 履约担保</w:t>
      </w:r>
    </w:p>
    <w:p>
      <w:pPr>
        <w:spacing w:line="276" w:lineRule="auto"/>
        <w:ind w:firstLine="420" w:firstLineChars="200"/>
        <w:rPr>
          <w:rFonts w:ascii="宋体" w:hAnsi="宋体" w:cs="宋体"/>
        </w:rPr>
      </w:pPr>
      <w:r>
        <w:rPr>
          <w:rFonts w:hint="eastAsia" w:ascii="宋体" w:hAnsi="宋体" w:cs="宋体"/>
        </w:rPr>
        <w:t>承包人是否提供履约担保：</w:t>
      </w:r>
      <w:r>
        <w:rPr>
          <w:rFonts w:hint="eastAsia" w:ascii="宋体" w:hAnsi="宋体" w:cs="宋体"/>
          <w:u w:val="single"/>
        </w:rPr>
        <w:t xml:space="preserve">   </w:t>
      </w:r>
      <w:r>
        <w:rPr>
          <w:rFonts w:hint="eastAsia" w:ascii="宋体" w:hAnsi="宋体" w:cs="宋体"/>
          <w:b/>
          <w:u w:val="single"/>
        </w:rPr>
        <w:t xml:space="preserve"> 提供  </w:t>
      </w:r>
      <w:r>
        <w:rPr>
          <w:rFonts w:hint="eastAsia" w:ascii="宋体" w:hAnsi="宋体" w:cs="宋体"/>
          <w:u w:val="single"/>
        </w:rPr>
        <w:t xml:space="preserve"> </w:t>
      </w:r>
      <w:r>
        <w:rPr>
          <w:rFonts w:hint="eastAsia" w:ascii="宋体" w:hAnsi="宋体" w:cs="宋体"/>
        </w:rPr>
        <w:t>。</w:t>
      </w:r>
    </w:p>
    <w:p>
      <w:pPr>
        <w:adjustRightInd w:val="0"/>
        <w:snapToGrid w:val="0"/>
        <w:spacing w:line="360" w:lineRule="auto"/>
        <w:ind w:left="423" w:leftChars="200" w:hanging="3"/>
        <w:rPr>
          <w:rFonts w:ascii="宋体" w:hAnsi="宋体" w:cs="宋体"/>
          <w:b/>
          <w:color w:val="FF0000"/>
          <w:u w:val="single"/>
        </w:rPr>
      </w:pPr>
      <w:r>
        <w:rPr>
          <w:rFonts w:hint="eastAsia" w:ascii="宋体" w:hAnsi="宋体" w:cs="宋体"/>
        </w:rPr>
        <w:t>承包人提供履约担保的形式、金额及期限的：</w:t>
      </w:r>
      <w:r>
        <w:rPr>
          <w:rFonts w:hint="eastAsia" w:ascii="宋体" w:hAnsi="宋体" w:cs="宋体"/>
          <w:u w:val="single"/>
        </w:rPr>
        <w:t xml:space="preserve"> </w:t>
      </w:r>
      <w:r>
        <w:rPr>
          <w:rFonts w:hint="eastAsia" w:ascii="宋体" w:hAnsi="宋体" w:cs="宋体"/>
          <w:b/>
          <w:u w:val="single"/>
        </w:rPr>
        <w:t xml:space="preserve"> </w:t>
      </w:r>
      <w:r>
        <w:rPr>
          <w:rFonts w:hint="eastAsia" w:ascii="宋体" w:hAnsi="宋体" w:cs="宋体"/>
          <w:b/>
          <w:color w:val="FF0000"/>
          <w:u w:val="single"/>
        </w:rPr>
        <w:t>承包人人按合同总价额即中标价的10％提交履约保证金。承包人未发生招标文件和合同约定的违约情形，工程竣工验收后，可凭建设工程项目竣工验收报告（初验报告或单位工程验收报告或交工验收报告）等材料，向履约保证金管理单位提出退还履约保证金的申请。发包人从收到申请及相关材料之日起30日内，将履约保证金一次性无息退还承包人</w:t>
      </w:r>
      <w:r>
        <w:rPr>
          <w:rFonts w:hint="eastAsia" w:ascii="宋体" w:hAnsi="宋体" w:cs="宋体"/>
          <w:b/>
          <w:color w:val="FF0000"/>
        </w:rPr>
        <w:t>。</w:t>
      </w:r>
    </w:p>
    <w:p>
      <w:pPr>
        <w:pStyle w:val="5"/>
        <w:spacing w:line="276" w:lineRule="auto"/>
        <w:rPr>
          <w:rFonts w:ascii="宋体" w:hAnsi="宋体" w:cs="宋体"/>
          <w:b w:val="0"/>
          <w:sz w:val="24"/>
          <w:szCs w:val="24"/>
        </w:rPr>
      </w:pPr>
      <w:bookmarkStart w:id="73" w:name="_Toc351203636"/>
      <w:r>
        <w:rPr>
          <w:rFonts w:hint="eastAsia" w:ascii="宋体" w:hAnsi="宋体" w:cs="宋体"/>
          <w:b w:val="0"/>
          <w:sz w:val="24"/>
          <w:szCs w:val="24"/>
        </w:rPr>
        <w:t>4</w:t>
      </w:r>
      <w:bookmarkStart w:id="74" w:name="_Toc297048348"/>
      <w:bookmarkStart w:id="75" w:name="_Toc296346663"/>
      <w:bookmarkStart w:id="76" w:name="_Toc296891202"/>
      <w:bookmarkStart w:id="77" w:name="_Toc296890990"/>
      <w:bookmarkStart w:id="78" w:name="_Toc297120462"/>
      <w:bookmarkStart w:id="79" w:name="_Toc267251413"/>
      <w:bookmarkStart w:id="80" w:name="_Toc292559871"/>
      <w:bookmarkStart w:id="81" w:name="_Toc296347161"/>
      <w:bookmarkStart w:id="82" w:name="_Toc296944501"/>
      <w:bookmarkStart w:id="83" w:name="_Toc296503162"/>
      <w:bookmarkStart w:id="84" w:name="_Toc292559366"/>
      <w:r>
        <w:rPr>
          <w:rFonts w:hint="eastAsia" w:ascii="宋体" w:hAnsi="宋体" w:cs="宋体"/>
          <w:b w:val="0"/>
          <w:sz w:val="24"/>
          <w:szCs w:val="24"/>
        </w:rPr>
        <w:t>. 监</w:t>
      </w:r>
      <w:bookmarkEnd w:id="74"/>
      <w:bookmarkEnd w:id="75"/>
      <w:bookmarkEnd w:id="76"/>
      <w:bookmarkEnd w:id="77"/>
      <w:bookmarkEnd w:id="78"/>
      <w:bookmarkEnd w:id="79"/>
      <w:bookmarkEnd w:id="80"/>
      <w:bookmarkEnd w:id="81"/>
      <w:bookmarkEnd w:id="82"/>
      <w:bookmarkEnd w:id="83"/>
      <w:bookmarkEnd w:id="84"/>
      <w:r>
        <w:rPr>
          <w:rFonts w:hint="eastAsia" w:ascii="宋体" w:hAnsi="宋体" w:cs="宋体"/>
          <w:b w:val="0"/>
          <w:sz w:val="24"/>
          <w:szCs w:val="24"/>
        </w:rPr>
        <w:t>理人</w:t>
      </w:r>
      <w:bookmarkEnd w:id="73"/>
    </w:p>
    <w:p>
      <w:pPr>
        <w:spacing w:after="120" w:line="276" w:lineRule="auto"/>
        <w:ind w:firstLine="420" w:firstLineChars="200"/>
        <w:rPr>
          <w:rFonts w:ascii="宋体" w:hAnsi="宋体" w:cs="宋体"/>
        </w:rPr>
      </w:pPr>
      <w:r>
        <w:rPr>
          <w:rFonts w:hint="eastAsia" w:ascii="宋体" w:hAnsi="宋体" w:cs="宋体"/>
        </w:rPr>
        <w:t>4.1监理人的一般规定</w:t>
      </w:r>
    </w:p>
    <w:p>
      <w:pPr>
        <w:spacing w:line="276" w:lineRule="auto"/>
        <w:ind w:firstLine="420" w:firstLineChars="200"/>
        <w:rPr>
          <w:rFonts w:ascii="宋体" w:hAnsi="宋体" w:cs="宋体"/>
        </w:rPr>
      </w:pPr>
      <w:r>
        <w:rPr>
          <w:rFonts w:hint="eastAsia" w:ascii="宋体" w:hAnsi="宋体" w:cs="宋体"/>
        </w:rPr>
        <w:t>关于监理人的监理内容：</w:t>
      </w:r>
      <w:r>
        <w:rPr>
          <w:rFonts w:hint="eastAsia" w:ascii="宋体" w:hAnsi="宋体" w:cs="宋体"/>
          <w:u w:val="single"/>
        </w:rPr>
        <w:t xml:space="preserve">       </w:t>
      </w:r>
      <w:r>
        <w:rPr>
          <w:rFonts w:hint="eastAsia" w:ascii="宋体" w:hAnsi="宋体" w:cs="宋体"/>
          <w:b/>
          <w:u w:val="single"/>
        </w:rPr>
        <w:t xml:space="preserve"> /</w:t>
      </w:r>
      <w:r>
        <w:rPr>
          <w:rFonts w:hint="eastAsia" w:ascii="宋体" w:hAnsi="宋体" w:cs="宋体"/>
          <w:u w:val="single"/>
        </w:rPr>
        <w:t xml:space="preserve">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关于监理人的监理权限：</w:t>
      </w:r>
      <w:r>
        <w:rPr>
          <w:rFonts w:hint="eastAsia" w:ascii="宋体" w:hAnsi="宋体" w:cs="宋体"/>
          <w:u w:val="single"/>
        </w:rPr>
        <w:t xml:space="preserve">       </w:t>
      </w:r>
      <w:r>
        <w:rPr>
          <w:rFonts w:hint="eastAsia" w:ascii="宋体" w:hAnsi="宋体" w:cs="宋体"/>
          <w:b/>
          <w:u w:val="single"/>
        </w:rPr>
        <w:t xml:space="preserve"> /  </w:t>
      </w:r>
      <w:r>
        <w:rPr>
          <w:rFonts w:hint="eastAsia" w:ascii="宋体" w:hAnsi="宋体" w:cs="宋体"/>
          <w:u w:val="single"/>
        </w:rPr>
        <w:t xml:space="preserve">   </w:t>
      </w:r>
      <w:r>
        <w:rPr>
          <w:rFonts w:hint="eastAsia" w:ascii="宋体" w:hAnsi="宋体" w:cs="宋体"/>
        </w:rPr>
        <w:t xml:space="preserve">。 </w:t>
      </w:r>
    </w:p>
    <w:p>
      <w:pPr>
        <w:spacing w:line="360" w:lineRule="auto"/>
        <w:ind w:firstLine="420" w:firstLineChars="200"/>
        <w:rPr>
          <w:rFonts w:ascii="宋体" w:hAnsi="宋体" w:cs="宋体"/>
        </w:rPr>
      </w:pPr>
      <w:r>
        <w:rPr>
          <w:rFonts w:hint="eastAsia" w:ascii="宋体" w:hAnsi="宋体" w:cs="宋体"/>
        </w:rPr>
        <w:t>关于监理人在施工现场的办公场所、生活场所的提供和费用承担的约定：</w:t>
      </w:r>
      <w:r>
        <w:rPr>
          <w:rFonts w:hint="eastAsia" w:ascii="宋体" w:hAnsi="宋体" w:cs="宋体"/>
          <w:b/>
          <w:u w:val="single"/>
        </w:rPr>
        <w:t xml:space="preserve">  / </w:t>
      </w:r>
      <w:r>
        <w:rPr>
          <w:rFonts w:hint="eastAsia" w:ascii="宋体" w:hAnsi="宋体" w:cs="宋体"/>
          <w:b/>
        </w:rPr>
        <w:t>。</w:t>
      </w:r>
    </w:p>
    <w:p>
      <w:pPr>
        <w:spacing w:after="120" w:line="276" w:lineRule="auto"/>
        <w:ind w:firstLine="420" w:firstLineChars="200"/>
        <w:rPr>
          <w:rFonts w:ascii="宋体" w:hAnsi="宋体" w:cs="宋体"/>
        </w:rPr>
      </w:pPr>
      <w:r>
        <w:rPr>
          <w:rFonts w:hint="eastAsia" w:ascii="宋体" w:hAnsi="宋体" w:cs="宋体"/>
        </w:rPr>
        <w:t>4.2 监理人员</w:t>
      </w:r>
    </w:p>
    <w:p>
      <w:pPr>
        <w:spacing w:line="276" w:lineRule="auto"/>
        <w:ind w:firstLine="420" w:firstLineChars="200"/>
        <w:rPr>
          <w:rFonts w:ascii="宋体" w:hAnsi="宋体" w:cs="宋体"/>
        </w:rPr>
      </w:pPr>
      <w:r>
        <w:rPr>
          <w:rFonts w:hint="eastAsia" w:ascii="宋体" w:hAnsi="宋体" w:cs="宋体"/>
        </w:rPr>
        <w:t>总监理工程师：</w:t>
      </w:r>
    </w:p>
    <w:p>
      <w:pPr>
        <w:spacing w:line="276" w:lineRule="auto"/>
        <w:ind w:firstLine="420" w:firstLineChars="200"/>
        <w:rPr>
          <w:rFonts w:ascii="宋体" w:hAnsi="宋体" w:cs="宋体"/>
        </w:rPr>
      </w:pPr>
      <w:r>
        <w:rPr>
          <w:rFonts w:hint="eastAsia" w:ascii="宋体" w:hAnsi="宋体" w:cs="宋体"/>
        </w:rPr>
        <w:t>姓    名：</w:t>
      </w:r>
      <w:r>
        <w:rPr>
          <w:rFonts w:hint="eastAsia" w:ascii="宋体" w:hAnsi="宋体" w:cs="宋体"/>
          <w:u w:val="single"/>
        </w:rPr>
        <w:t>/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职    务：</w:t>
      </w:r>
      <w:r>
        <w:rPr>
          <w:rFonts w:hint="eastAsia" w:ascii="宋体" w:hAnsi="宋体" w:cs="宋体"/>
          <w:u w:val="single"/>
        </w:rPr>
        <w:t>/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监理工程师执业资格证书号：</w:t>
      </w:r>
      <w:r>
        <w:rPr>
          <w:rFonts w:hint="eastAsia" w:ascii="宋体" w:hAnsi="宋体" w:cs="宋体"/>
          <w:u w:val="single"/>
        </w:rPr>
        <w:t>/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联系电话：</w:t>
      </w:r>
      <w:r>
        <w:rPr>
          <w:rFonts w:hint="eastAsia" w:ascii="宋体" w:hAnsi="宋体" w:cs="宋体"/>
          <w:u w:val="single"/>
        </w:rPr>
        <w:t>/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电子信箱：</w:t>
      </w:r>
      <w:r>
        <w:rPr>
          <w:rFonts w:hint="eastAsia" w:ascii="宋体" w:hAnsi="宋体" w:cs="宋体"/>
          <w:u w:val="single"/>
        </w:rPr>
        <w:t>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通信地址：</w:t>
      </w:r>
      <w:r>
        <w:rPr>
          <w:rFonts w:hint="eastAsia" w:ascii="宋体" w:hAnsi="宋体" w:cs="宋体"/>
          <w:u w:val="single"/>
        </w:rPr>
        <w:t> /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关于监理人的其他约定：</w:t>
      </w:r>
      <w:r>
        <w:rPr>
          <w:rFonts w:hint="eastAsia" w:ascii="宋体" w:hAnsi="宋体" w:cs="宋体"/>
          <w:u w:val="single"/>
        </w:rPr>
        <w:t> /  </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4.4 商定或确定</w:t>
      </w:r>
    </w:p>
    <w:p>
      <w:pPr>
        <w:spacing w:line="276" w:lineRule="auto"/>
        <w:ind w:firstLine="420" w:firstLineChars="200"/>
        <w:rPr>
          <w:rFonts w:ascii="宋体" w:hAnsi="宋体" w:cs="宋体"/>
        </w:rPr>
      </w:pPr>
      <w:bookmarkStart w:id="85" w:name="_Toc267251418"/>
      <w:r>
        <w:rPr>
          <w:rFonts w:hint="eastAsia" w:ascii="宋体" w:hAnsi="宋体" w:cs="宋体"/>
        </w:rPr>
        <w:t>在发包人和承包人不能通过协商达成一致意见时，发包人授权监理人对以下事项进行确定：</w:t>
      </w:r>
    </w:p>
    <w:p>
      <w:pPr>
        <w:autoSpaceDE w:val="0"/>
        <w:autoSpaceDN w:val="0"/>
        <w:adjustRightInd w:val="0"/>
        <w:spacing w:line="276" w:lineRule="auto"/>
        <w:ind w:firstLine="420" w:firstLineChars="200"/>
        <w:rPr>
          <w:rFonts w:ascii="宋体" w:hAnsi="宋体" w:cs="宋体"/>
        </w:rPr>
      </w:pPr>
      <w:r>
        <w:rPr>
          <w:rFonts w:hint="eastAsia" w:ascii="宋体" w:hAnsi="宋体" w:cs="宋体"/>
        </w:rPr>
        <w:t>（1）</w:t>
      </w:r>
      <w:r>
        <w:rPr>
          <w:rFonts w:hint="eastAsia" w:ascii="宋体" w:hAnsi="宋体" w:cs="宋体"/>
          <w:u w:val="single"/>
        </w:rPr>
        <w:t xml:space="preserve">  </w:t>
      </w:r>
      <w:r>
        <w:rPr>
          <w:rFonts w:hint="eastAsia" w:ascii="宋体" w:hAnsi="宋体" w:cs="宋体"/>
          <w:b/>
          <w:u w:val="single"/>
        </w:rPr>
        <w:t xml:space="preserve">   </w:t>
      </w:r>
      <w:r>
        <w:rPr>
          <w:rFonts w:hint="eastAsia" w:ascii="宋体" w:hAnsi="宋体" w:cs="宋体"/>
          <w:u w:val="single"/>
        </w:rPr>
        <w:t xml:space="preserve">         /     </w:t>
      </w:r>
      <w:r>
        <w:rPr>
          <w:rFonts w:hint="eastAsia" w:ascii="宋体" w:hAnsi="宋体" w:cs="宋体"/>
        </w:rPr>
        <w:t>；</w:t>
      </w:r>
    </w:p>
    <w:p>
      <w:pPr>
        <w:pStyle w:val="5"/>
        <w:spacing w:line="276" w:lineRule="auto"/>
        <w:rPr>
          <w:rFonts w:ascii="宋体" w:hAnsi="宋体" w:cs="宋体"/>
          <w:b w:val="0"/>
          <w:sz w:val="24"/>
          <w:szCs w:val="24"/>
        </w:rPr>
      </w:pPr>
      <w:bookmarkStart w:id="86" w:name="_Toc351203637"/>
      <w:r>
        <w:rPr>
          <w:rFonts w:hint="eastAsia" w:ascii="宋体" w:hAnsi="宋体" w:cs="宋体"/>
          <w:b w:val="0"/>
          <w:sz w:val="24"/>
          <w:szCs w:val="24"/>
        </w:rPr>
        <w:t>5</w:t>
      </w:r>
      <w:bookmarkEnd w:id="85"/>
      <w:r>
        <w:rPr>
          <w:rFonts w:hint="eastAsia" w:ascii="宋体" w:hAnsi="宋体" w:cs="宋体"/>
          <w:b w:val="0"/>
          <w:sz w:val="24"/>
          <w:szCs w:val="24"/>
        </w:rPr>
        <w:t>. 工程质量</w:t>
      </w:r>
      <w:bookmarkEnd w:id="86"/>
    </w:p>
    <w:p>
      <w:pPr>
        <w:spacing w:after="120" w:line="276" w:lineRule="auto"/>
        <w:ind w:firstLine="420" w:firstLineChars="200"/>
        <w:rPr>
          <w:rFonts w:ascii="宋体" w:hAnsi="宋体" w:cs="宋体"/>
        </w:rPr>
      </w:pPr>
      <w:r>
        <w:rPr>
          <w:rFonts w:hint="eastAsia" w:ascii="宋体" w:hAnsi="宋体" w:cs="宋体"/>
        </w:rPr>
        <w:t>5.1 质量要求</w:t>
      </w:r>
    </w:p>
    <w:p>
      <w:pPr>
        <w:spacing w:line="276" w:lineRule="auto"/>
        <w:ind w:firstLine="420" w:firstLineChars="200"/>
        <w:rPr>
          <w:rFonts w:ascii="宋体" w:hAnsi="宋体" w:cs="宋体"/>
        </w:rPr>
      </w:pPr>
      <w:r>
        <w:rPr>
          <w:rFonts w:hint="eastAsia" w:ascii="宋体" w:hAnsi="宋体" w:cs="宋体"/>
        </w:rPr>
        <w:t>5.1.1 特殊质量标准和要求：</w:t>
      </w:r>
      <w:r>
        <w:rPr>
          <w:rFonts w:hint="eastAsia" w:ascii="宋体" w:hAnsi="宋体" w:cs="宋体"/>
          <w:b/>
          <w:u w:val="single"/>
        </w:rPr>
        <w:t>合格并通过主管部门的验收并取得相关证书或文件</w:t>
      </w:r>
      <w:r>
        <w:rPr>
          <w:rFonts w:hint="eastAsia" w:ascii="宋体" w:hAnsi="宋体" w:cs="宋体"/>
          <w:b/>
        </w:rPr>
        <w:t xml:space="preserve">。 </w:t>
      </w:r>
      <w:r>
        <w:rPr>
          <w:rFonts w:hint="eastAsia" w:ascii="宋体" w:hAnsi="宋体" w:cs="宋体"/>
        </w:rPr>
        <w:t xml:space="preserve"> </w:t>
      </w:r>
    </w:p>
    <w:p>
      <w:pPr>
        <w:spacing w:line="276" w:lineRule="auto"/>
        <w:ind w:firstLine="630" w:firstLineChars="300"/>
        <w:rPr>
          <w:rFonts w:ascii="宋体" w:hAnsi="宋体" w:cs="宋体"/>
        </w:rPr>
      </w:pPr>
      <w:r>
        <w:rPr>
          <w:rFonts w:hint="eastAsia" w:ascii="宋体" w:hAnsi="宋体" w:cs="宋体"/>
        </w:rPr>
        <w:t>关于工程奖项的约定：</w:t>
      </w:r>
      <w:r>
        <w:rPr>
          <w:rFonts w:hint="eastAsia" w:ascii="宋体" w:hAnsi="宋体" w:cs="宋体"/>
          <w:b/>
          <w:u w:val="single"/>
        </w:rPr>
        <w:t xml:space="preserve">  /   </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5.3 隐蔽工程检查</w:t>
      </w:r>
    </w:p>
    <w:p>
      <w:pPr>
        <w:spacing w:line="276" w:lineRule="auto"/>
        <w:ind w:firstLine="420" w:firstLineChars="200"/>
        <w:rPr>
          <w:rFonts w:ascii="宋体" w:hAnsi="宋体" w:cs="宋体"/>
        </w:rPr>
      </w:pPr>
      <w:r>
        <w:rPr>
          <w:rFonts w:hint="eastAsia" w:ascii="宋体" w:hAnsi="宋体" w:cs="宋体"/>
        </w:rPr>
        <w:t>5.3.2承包人提前通知监理人隐蔽工程检查的期限的约定：</w:t>
      </w:r>
      <w:r>
        <w:rPr>
          <w:rFonts w:hint="eastAsia" w:ascii="宋体" w:hAnsi="宋体" w:cs="宋体"/>
          <w:b/>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监理人不能按时进行检查时，应提前</w:t>
      </w:r>
      <w:r>
        <w:rPr>
          <w:rFonts w:hint="eastAsia" w:ascii="宋体" w:hAnsi="宋体" w:cs="宋体"/>
          <w:u w:val="single"/>
        </w:rPr>
        <w:t xml:space="preserve"> </w:t>
      </w:r>
      <w:r>
        <w:rPr>
          <w:rFonts w:hint="eastAsia" w:ascii="宋体" w:hAnsi="宋体" w:cs="宋体"/>
          <w:b/>
          <w:u w:val="single"/>
        </w:rPr>
        <w:t xml:space="preserve"> /  </w:t>
      </w:r>
      <w:r>
        <w:rPr>
          <w:rFonts w:hint="eastAsia" w:ascii="宋体" w:hAnsi="宋体" w:cs="宋体"/>
        </w:rPr>
        <w:t>小时提交书面延期要求。</w:t>
      </w:r>
    </w:p>
    <w:p>
      <w:pPr>
        <w:spacing w:line="276" w:lineRule="auto"/>
        <w:ind w:firstLine="420" w:firstLineChars="200"/>
        <w:rPr>
          <w:rFonts w:ascii="宋体" w:hAnsi="宋体" w:cs="宋体"/>
        </w:rPr>
      </w:pPr>
      <w:r>
        <w:rPr>
          <w:rFonts w:hint="eastAsia" w:ascii="宋体" w:hAnsi="宋体" w:cs="宋体"/>
        </w:rPr>
        <w:t>关于延期最长不得超过：</w:t>
      </w:r>
      <w:r>
        <w:rPr>
          <w:rFonts w:hint="eastAsia" w:ascii="宋体" w:hAnsi="宋体" w:cs="宋体"/>
          <w:u w:val="single"/>
        </w:rPr>
        <w:t xml:space="preserve">  </w:t>
      </w:r>
      <w:r>
        <w:rPr>
          <w:rFonts w:hint="eastAsia" w:ascii="宋体" w:hAnsi="宋体" w:cs="宋体"/>
          <w:b/>
          <w:u w:val="single"/>
        </w:rPr>
        <w:t xml:space="preserve"> /  </w:t>
      </w:r>
      <w:r>
        <w:rPr>
          <w:rFonts w:hint="eastAsia" w:ascii="宋体" w:hAnsi="宋体" w:cs="宋体"/>
        </w:rPr>
        <w:t>小时。</w:t>
      </w:r>
    </w:p>
    <w:p>
      <w:pPr>
        <w:pStyle w:val="5"/>
        <w:spacing w:line="276" w:lineRule="auto"/>
        <w:rPr>
          <w:rFonts w:ascii="宋体" w:hAnsi="宋体" w:cs="宋体"/>
          <w:b w:val="0"/>
          <w:sz w:val="24"/>
          <w:szCs w:val="24"/>
        </w:rPr>
      </w:pPr>
      <w:r>
        <w:rPr>
          <w:rFonts w:hint="eastAsia" w:ascii="宋体" w:hAnsi="宋体" w:cs="宋体"/>
          <w:b w:val="0"/>
          <w:sz w:val="24"/>
          <w:szCs w:val="24"/>
        </w:rPr>
        <w:t>6. 安全文明施工与环境保护</w:t>
      </w:r>
    </w:p>
    <w:p>
      <w:pPr>
        <w:spacing w:after="120" w:line="276" w:lineRule="auto"/>
        <w:ind w:firstLine="420" w:firstLineChars="200"/>
        <w:rPr>
          <w:rFonts w:ascii="宋体" w:hAnsi="宋体" w:cs="宋体"/>
        </w:rPr>
      </w:pPr>
      <w:r>
        <w:rPr>
          <w:rFonts w:hint="eastAsia" w:ascii="宋体" w:hAnsi="宋体" w:cs="宋体"/>
        </w:rPr>
        <w:t>6.1安全文明施工</w:t>
      </w:r>
    </w:p>
    <w:p>
      <w:pPr>
        <w:spacing w:line="276" w:lineRule="auto"/>
        <w:ind w:firstLine="315" w:firstLineChars="150"/>
        <w:rPr>
          <w:rFonts w:ascii="宋体" w:hAnsi="宋体" w:cs="宋体"/>
        </w:rPr>
      </w:pPr>
      <w:r>
        <w:rPr>
          <w:rFonts w:hint="eastAsia" w:ascii="宋体" w:hAnsi="宋体" w:cs="宋体"/>
        </w:rPr>
        <w:t>6.1.1 项目安全生产的达标目标及相应事项的约定：</w:t>
      </w:r>
      <w:r>
        <w:rPr>
          <w:rFonts w:hint="eastAsia" w:ascii="宋体" w:hAnsi="宋体" w:cs="宋体"/>
          <w:b/>
          <w:u w:val="single"/>
        </w:rPr>
        <w:t>服从发包人的管理，遵守国家和工程所在地有关安全生产的要求</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6.1.4 关于治安保卫的特别约定：</w:t>
      </w:r>
      <w:r>
        <w:rPr>
          <w:rFonts w:hint="eastAsia" w:ascii="宋体" w:hAnsi="宋体" w:cs="宋体"/>
          <w:b/>
          <w:u w:val="single"/>
        </w:rPr>
        <w:t>按通用条款执行</w:t>
      </w:r>
      <w:r>
        <w:rPr>
          <w:rFonts w:hint="eastAsia" w:ascii="宋体" w:hAnsi="宋体" w:cs="宋体"/>
          <w:b/>
        </w:rPr>
        <w:t>。</w:t>
      </w:r>
    </w:p>
    <w:p>
      <w:pPr>
        <w:spacing w:line="276" w:lineRule="auto"/>
        <w:ind w:firstLine="420" w:firstLineChars="200"/>
        <w:rPr>
          <w:rFonts w:ascii="宋体" w:hAnsi="宋体" w:cs="宋体"/>
          <w:b/>
        </w:rPr>
      </w:pPr>
      <w:r>
        <w:rPr>
          <w:rFonts w:hint="eastAsia" w:ascii="宋体" w:hAnsi="宋体" w:cs="宋体"/>
        </w:rPr>
        <w:t>关于编制施工场地治安管理计划的约定：</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6.1.5 文明施工</w:t>
      </w:r>
    </w:p>
    <w:p>
      <w:pPr>
        <w:spacing w:line="276" w:lineRule="auto"/>
        <w:ind w:firstLine="315" w:firstLineChars="150"/>
        <w:rPr>
          <w:rFonts w:ascii="宋体" w:hAnsi="宋体" w:cs="宋体"/>
          <w:b/>
        </w:rPr>
      </w:pPr>
      <w:r>
        <w:rPr>
          <w:rFonts w:hint="eastAsia" w:ascii="宋体" w:hAnsi="宋体" w:cs="宋体"/>
        </w:rPr>
        <w:t>合同当事人对文明施工的要求：</w:t>
      </w:r>
      <w:r>
        <w:rPr>
          <w:rFonts w:hint="eastAsia" w:ascii="宋体" w:hAnsi="宋体" w:cs="宋体"/>
          <w:b/>
          <w:color w:val="FF0000"/>
          <w:u w:val="single"/>
        </w:rPr>
        <w:t>承包人负责对施工人员进行安全文明教育，遵守六安世立医院运营的各科室对施工现场的扬尘、噪音、清洁的各项要求</w:t>
      </w:r>
      <w:r>
        <w:rPr>
          <w:rFonts w:hint="eastAsia" w:ascii="宋体" w:hAnsi="宋体" w:cs="宋体"/>
          <w:b/>
          <w:color w:val="FF0000"/>
        </w:rPr>
        <w:t>。</w:t>
      </w:r>
    </w:p>
    <w:p>
      <w:pPr>
        <w:spacing w:line="276" w:lineRule="auto"/>
        <w:ind w:firstLine="420" w:firstLineChars="200"/>
        <w:rPr>
          <w:rFonts w:ascii="宋体" w:hAnsi="宋体" w:cs="宋体"/>
          <w:b/>
          <w:u w:val="single"/>
        </w:rPr>
      </w:pPr>
      <w:r>
        <w:rPr>
          <w:rFonts w:hint="eastAsia" w:ascii="宋体" w:hAnsi="宋体" w:cs="宋体"/>
        </w:rPr>
        <w:t>6.1.6 关于安全文明施工费支付比例和支付期限的约定：</w:t>
      </w:r>
      <w:r>
        <w:rPr>
          <w:rFonts w:hint="eastAsia" w:ascii="宋体" w:hAnsi="宋体" w:cs="宋体"/>
          <w:b/>
          <w:u w:val="single"/>
        </w:rPr>
        <w:t>费用已计入措施费中，纳入合同价格支付，根据付款节点、完成的工程量与施工进度款等比例支付</w:t>
      </w:r>
      <w:r>
        <w:rPr>
          <w:rFonts w:hint="eastAsia" w:ascii="宋体" w:hAnsi="宋体" w:cs="宋体"/>
          <w:b/>
          <w:color w:val="FF0000"/>
          <w:u w:val="single"/>
        </w:rPr>
        <w:t>。</w:t>
      </w:r>
    </w:p>
    <w:p>
      <w:pPr>
        <w:pStyle w:val="5"/>
        <w:spacing w:line="276" w:lineRule="auto"/>
        <w:rPr>
          <w:rFonts w:ascii="宋体" w:hAnsi="宋体" w:cs="宋体"/>
          <w:b w:val="0"/>
          <w:sz w:val="24"/>
          <w:szCs w:val="24"/>
        </w:rPr>
      </w:pPr>
      <w:bookmarkStart w:id="87" w:name="_Toc351203639"/>
      <w:r>
        <w:rPr>
          <w:rFonts w:hint="eastAsia" w:ascii="宋体" w:hAnsi="宋体" w:cs="宋体"/>
          <w:b w:val="0"/>
          <w:sz w:val="24"/>
          <w:szCs w:val="24"/>
        </w:rPr>
        <w:t>7. 工期和进度</w:t>
      </w:r>
      <w:bookmarkEnd w:id="87"/>
    </w:p>
    <w:p>
      <w:pPr>
        <w:spacing w:after="120" w:line="276" w:lineRule="auto"/>
        <w:ind w:firstLine="420" w:firstLineChars="200"/>
        <w:rPr>
          <w:rFonts w:ascii="宋体" w:hAnsi="宋体" w:cs="宋体"/>
        </w:rPr>
      </w:pPr>
      <w:r>
        <w:rPr>
          <w:rFonts w:hint="eastAsia" w:ascii="宋体" w:hAnsi="宋体" w:cs="宋体"/>
        </w:rPr>
        <w:t>7.1 施工组织设计</w:t>
      </w:r>
    </w:p>
    <w:p>
      <w:pPr>
        <w:autoSpaceDE w:val="0"/>
        <w:autoSpaceDN w:val="0"/>
        <w:adjustRightInd w:val="0"/>
        <w:spacing w:line="276" w:lineRule="auto"/>
        <w:ind w:firstLine="420" w:firstLineChars="200"/>
        <w:rPr>
          <w:rFonts w:ascii="宋体" w:hAnsi="宋体" w:cs="宋体"/>
        </w:rPr>
      </w:pPr>
      <w:r>
        <w:rPr>
          <w:rFonts w:hint="eastAsia" w:ascii="宋体" w:hAnsi="宋体" w:cs="宋体"/>
        </w:rPr>
        <w:t>7.1.1 合同当事人约定的施工组织设计应包括的其他内容：</w:t>
      </w:r>
      <w:r>
        <w:rPr>
          <w:rFonts w:hint="eastAsia" w:ascii="宋体" w:hAnsi="宋体" w:cs="宋体"/>
          <w:b/>
          <w:u w:val="single"/>
        </w:rPr>
        <w:t>按通用条款执行</w:t>
      </w:r>
      <w:r>
        <w:rPr>
          <w:rFonts w:hint="eastAsia" w:ascii="宋体" w:hAnsi="宋体" w:cs="宋体"/>
        </w:rPr>
        <w:t>。</w:t>
      </w:r>
    </w:p>
    <w:p>
      <w:pPr>
        <w:autoSpaceDE w:val="0"/>
        <w:autoSpaceDN w:val="0"/>
        <w:adjustRightInd w:val="0"/>
        <w:spacing w:line="276" w:lineRule="auto"/>
        <w:ind w:firstLine="420" w:firstLineChars="200"/>
        <w:rPr>
          <w:rFonts w:ascii="宋体" w:hAnsi="宋体" w:cs="宋体"/>
        </w:rPr>
      </w:pPr>
      <w:r>
        <w:rPr>
          <w:rFonts w:hint="eastAsia" w:ascii="宋体" w:hAnsi="宋体" w:cs="宋体"/>
        </w:rPr>
        <w:t>7.1.2 施工组织设计的提交和修改</w:t>
      </w:r>
    </w:p>
    <w:p>
      <w:pPr>
        <w:autoSpaceDE w:val="0"/>
        <w:autoSpaceDN w:val="0"/>
        <w:adjustRightInd w:val="0"/>
        <w:spacing w:line="276" w:lineRule="auto"/>
        <w:ind w:firstLine="420" w:firstLineChars="200"/>
        <w:rPr>
          <w:rFonts w:ascii="宋体" w:hAnsi="宋体" w:cs="宋体"/>
        </w:rPr>
      </w:pPr>
      <w:r>
        <w:rPr>
          <w:rFonts w:hint="eastAsia" w:ascii="宋体" w:hAnsi="宋体" w:cs="宋体"/>
        </w:rPr>
        <w:t>承包人提交详细施工组织设计的期限的约定：</w:t>
      </w:r>
      <w:r>
        <w:rPr>
          <w:rFonts w:hint="eastAsia" w:ascii="宋体" w:hAnsi="宋体" w:cs="宋体"/>
          <w:b/>
          <w:u w:val="single"/>
        </w:rPr>
        <w:t>承包人必须在收到施工图纸后7天内，向发包人提交施工组织设计和工程进度计划，施工组织设计和施工进度计划必须满足对工期的要求</w:t>
      </w:r>
      <w:r>
        <w:rPr>
          <w:rFonts w:hint="eastAsia" w:ascii="宋体" w:hAnsi="宋体" w:cs="宋体"/>
          <w:b/>
        </w:rPr>
        <w:t xml:space="preserve">。 </w:t>
      </w:r>
    </w:p>
    <w:p>
      <w:pPr>
        <w:autoSpaceDE w:val="0"/>
        <w:autoSpaceDN w:val="0"/>
        <w:adjustRightInd w:val="0"/>
        <w:spacing w:line="276" w:lineRule="auto"/>
        <w:ind w:firstLine="420" w:firstLineChars="200"/>
        <w:rPr>
          <w:rFonts w:ascii="宋体" w:hAnsi="宋体" w:cs="宋体"/>
        </w:rPr>
      </w:pPr>
      <w:r>
        <w:rPr>
          <w:rFonts w:hint="eastAsia" w:ascii="宋体" w:hAnsi="宋体" w:cs="宋体"/>
        </w:rPr>
        <w:t>发包人和监理人在收到详细的施工组织设计后确认或提出修改意见的期限：</w:t>
      </w:r>
      <w:r>
        <w:rPr>
          <w:rFonts w:hint="eastAsia" w:ascii="宋体" w:hAnsi="宋体" w:cs="宋体"/>
          <w:b/>
          <w:u w:val="single"/>
        </w:rPr>
        <w:t>开工前</w:t>
      </w:r>
      <w:r>
        <w:rPr>
          <w:rFonts w:hint="eastAsia" w:ascii="宋体" w:hAnsi="宋体" w:cs="宋体"/>
        </w:rPr>
        <w:t xml:space="preserve">。                </w:t>
      </w:r>
    </w:p>
    <w:p>
      <w:pPr>
        <w:spacing w:after="120" w:line="276" w:lineRule="auto"/>
        <w:ind w:firstLine="420" w:firstLineChars="200"/>
        <w:rPr>
          <w:rFonts w:ascii="宋体" w:hAnsi="宋体" w:cs="宋体"/>
        </w:rPr>
      </w:pPr>
      <w:r>
        <w:rPr>
          <w:rFonts w:hint="eastAsia" w:ascii="宋体" w:hAnsi="宋体" w:cs="宋体"/>
        </w:rPr>
        <w:t>7</w:t>
      </w:r>
      <w:bookmarkStart w:id="88" w:name="_Toc312678005"/>
      <w:bookmarkStart w:id="89" w:name="_Toc297216173"/>
      <w:bookmarkStart w:id="90" w:name="_Toc300934966"/>
      <w:bookmarkStart w:id="91" w:name="_Toc297123514"/>
      <w:bookmarkStart w:id="92" w:name="_Toc304295541"/>
      <w:bookmarkStart w:id="93" w:name="_Toc312677479"/>
      <w:bookmarkStart w:id="94" w:name="_Toc303539123"/>
      <w:r>
        <w:rPr>
          <w:rFonts w:hint="eastAsia" w:ascii="宋体" w:hAnsi="宋体" w:cs="宋体"/>
        </w:rPr>
        <w:t>.2 施工进度计划</w:t>
      </w:r>
    </w:p>
    <w:p>
      <w:pPr>
        <w:spacing w:line="276" w:lineRule="auto"/>
        <w:ind w:firstLine="420" w:firstLineChars="200"/>
        <w:rPr>
          <w:rFonts w:ascii="宋体" w:hAnsi="宋体" w:cs="宋体"/>
        </w:rPr>
      </w:pPr>
      <w:r>
        <w:rPr>
          <w:rFonts w:hint="eastAsia" w:ascii="宋体" w:hAnsi="宋体" w:cs="宋体"/>
        </w:rPr>
        <w:t>7.2.2 施工进度计划的修订</w:t>
      </w:r>
    </w:p>
    <w:p>
      <w:pPr>
        <w:spacing w:line="276" w:lineRule="auto"/>
        <w:ind w:firstLine="420" w:firstLineChars="200"/>
        <w:rPr>
          <w:rFonts w:ascii="宋体" w:hAnsi="宋体" w:cs="宋体"/>
        </w:rPr>
      </w:pPr>
      <w:r>
        <w:rPr>
          <w:rFonts w:hint="eastAsia" w:ascii="宋体" w:hAnsi="宋体" w:cs="宋体"/>
        </w:rPr>
        <w:t>发包人和监理人在收到修订的施工进度计划后确认或提出修改意见的期限：</w:t>
      </w:r>
      <w:r>
        <w:rPr>
          <w:rFonts w:hint="eastAsia" w:ascii="宋体" w:hAnsi="宋体" w:cs="宋体"/>
          <w:b/>
          <w:u w:val="single"/>
        </w:rPr>
        <w:t>开工前</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7.3 开工</w:t>
      </w:r>
    </w:p>
    <w:p>
      <w:pPr>
        <w:spacing w:line="276" w:lineRule="auto"/>
        <w:ind w:firstLine="420" w:firstLineChars="200"/>
        <w:rPr>
          <w:rFonts w:ascii="宋体" w:hAnsi="宋体" w:cs="宋体"/>
        </w:rPr>
      </w:pPr>
      <w:r>
        <w:rPr>
          <w:rFonts w:hint="eastAsia" w:ascii="宋体" w:hAnsi="宋体" w:cs="宋体"/>
        </w:rPr>
        <w:t>7.3.1 开工准备</w:t>
      </w:r>
    </w:p>
    <w:p>
      <w:pPr>
        <w:spacing w:line="276" w:lineRule="auto"/>
        <w:ind w:firstLine="645"/>
        <w:rPr>
          <w:rFonts w:ascii="宋体" w:hAnsi="宋体" w:cs="宋体"/>
          <w:u w:val="single"/>
        </w:rPr>
      </w:pPr>
      <w:r>
        <w:rPr>
          <w:rFonts w:hint="eastAsia" w:ascii="宋体" w:hAnsi="宋体" w:cs="宋体"/>
        </w:rPr>
        <w:t>关于承包人提交工程开工报审表的期限：</w:t>
      </w:r>
      <w:r>
        <w:rPr>
          <w:rFonts w:hint="eastAsia" w:ascii="宋体" w:hAnsi="宋体" w:cs="宋体"/>
          <w:b/>
          <w:u w:val="single"/>
        </w:rPr>
        <w:t>开工前3天</w:t>
      </w:r>
      <w:r>
        <w:rPr>
          <w:rFonts w:hint="eastAsia" w:ascii="宋体" w:hAnsi="宋体" w:cs="宋体"/>
        </w:rPr>
        <w:t>。</w:t>
      </w:r>
    </w:p>
    <w:p>
      <w:pPr>
        <w:spacing w:line="276" w:lineRule="auto"/>
        <w:ind w:firstLine="645"/>
        <w:rPr>
          <w:rFonts w:ascii="宋体" w:hAnsi="宋体" w:cs="宋体"/>
          <w:b/>
          <w:u w:val="single"/>
        </w:rPr>
      </w:pPr>
      <w:r>
        <w:rPr>
          <w:rFonts w:hint="eastAsia" w:ascii="宋体" w:hAnsi="宋体" w:cs="宋体"/>
        </w:rPr>
        <w:t>关于发包人应完成的其他开工准备工作及期限：</w:t>
      </w:r>
      <w:r>
        <w:rPr>
          <w:rFonts w:hint="eastAsia" w:ascii="宋体" w:hAnsi="宋体" w:cs="宋体"/>
          <w:u w:val="single"/>
        </w:rPr>
        <w:t xml:space="preserve">  </w:t>
      </w:r>
      <w:r>
        <w:rPr>
          <w:rFonts w:hint="eastAsia" w:ascii="宋体" w:hAnsi="宋体" w:cs="宋体"/>
          <w:b/>
          <w:u w:val="single"/>
        </w:rPr>
        <w:t>收到开工申报表后7日内</w:t>
      </w:r>
    </w:p>
    <w:p>
      <w:pPr>
        <w:spacing w:line="276" w:lineRule="auto"/>
        <w:ind w:firstLine="630" w:firstLineChars="300"/>
        <w:rPr>
          <w:rFonts w:ascii="宋体" w:hAnsi="宋体" w:cs="宋体"/>
          <w:u w:val="single"/>
        </w:rPr>
      </w:pPr>
      <w:r>
        <w:rPr>
          <w:rFonts w:hint="eastAsia" w:ascii="宋体" w:hAnsi="宋体" w:cs="宋体"/>
        </w:rPr>
        <w:t>关于承包人应完成的其他开工准备工作及期限：</w:t>
      </w:r>
      <w:r>
        <w:rPr>
          <w:rFonts w:hint="eastAsia" w:ascii="宋体" w:hAnsi="宋体" w:cs="宋体"/>
          <w:u w:val="single"/>
        </w:rPr>
        <w:t xml:space="preserve"> </w:t>
      </w:r>
      <w:r>
        <w:rPr>
          <w:rFonts w:hint="eastAsia" w:ascii="宋体" w:hAnsi="宋体" w:cs="宋体"/>
          <w:b/>
          <w:u w:val="single"/>
        </w:rPr>
        <w:t xml:space="preserve"> 开工前3天</w:t>
      </w:r>
    </w:p>
    <w:p>
      <w:pPr>
        <w:spacing w:line="276" w:lineRule="auto"/>
        <w:ind w:firstLine="420" w:firstLineChars="200"/>
        <w:rPr>
          <w:rFonts w:ascii="宋体" w:hAnsi="宋体" w:cs="宋体"/>
          <w:b/>
          <w:u w:val="single"/>
        </w:rPr>
      </w:pPr>
      <w:r>
        <w:rPr>
          <w:rFonts w:hint="eastAsia" w:ascii="宋体" w:hAnsi="宋体" w:cs="宋体"/>
        </w:rPr>
        <w:t>7.3.2开工通知</w:t>
      </w:r>
      <w:bookmarkEnd w:id="88"/>
      <w:bookmarkEnd w:id="89"/>
      <w:bookmarkEnd w:id="90"/>
      <w:bookmarkEnd w:id="91"/>
      <w:bookmarkEnd w:id="92"/>
      <w:bookmarkEnd w:id="93"/>
      <w:bookmarkEnd w:id="94"/>
      <w:r>
        <w:rPr>
          <w:rFonts w:hint="eastAsia" w:ascii="宋体" w:hAnsi="宋体" w:cs="宋体"/>
        </w:rPr>
        <w:t>：</w:t>
      </w:r>
      <w:r>
        <w:rPr>
          <w:rFonts w:hint="eastAsia" w:ascii="宋体" w:hAnsi="宋体" w:cs="宋体"/>
          <w:b/>
          <w:u w:val="single"/>
        </w:rPr>
        <w:t>通用条款不适用</w:t>
      </w:r>
    </w:p>
    <w:p>
      <w:pPr>
        <w:spacing w:line="276" w:lineRule="auto"/>
        <w:ind w:firstLine="420" w:firstLineChars="200"/>
        <w:rPr>
          <w:rFonts w:ascii="宋体" w:hAnsi="宋体" w:cs="宋体"/>
        </w:rPr>
      </w:pPr>
      <w:r>
        <w:rPr>
          <w:rFonts w:hint="eastAsia" w:ascii="宋体" w:hAnsi="宋体" w:cs="宋体"/>
        </w:rPr>
        <w:t>因发包人原因造成监理人未能在计划开工日期之日起</w:t>
      </w:r>
      <w:r>
        <w:rPr>
          <w:rFonts w:hint="eastAsia" w:ascii="宋体" w:hAnsi="宋体" w:cs="宋体"/>
          <w:u w:val="single"/>
        </w:rPr>
        <w:t xml:space="preserve">   /  </w:t>
      </w:r>
      <w:r>
        <w:rPr>
          <w:rFonts w:hint="eastAsia" w:ascii="宋体" w:hAnsi="宋体" w:cs="宋体"/>
        </w:rPr>
        <w:t>天内发出开工通知的，承包人有权提出价格调整要求，或者解除合同。</w:t>
      </w:r>
    </w:p>
    <w:p>
      <w:pPr>
        <w:spacing w:after="120" w:line="276" w:lineRule="auto"/>
        <w:ind w:firstLine="420" w:firstLineChars="200"/>
        <w:rPr>
          <w:rFonts w:ascii="宋体" w:hAnsi="宋体" w:cs="宋体"/>
        </w:rPr>
      </w:pPr>
      <w:r>
        <w:rPr>
          <w:rFonts w:hint="eastAsia" w:ascii="宋体" w:hAnsi="宋体" w:cs="宋体"/>
        </w:rPr>
        <w:t>7.4 测量放线</w:t>
      </w:r>
    </w:p>
    <w:p>
      <w:pPr>
        <w:spacing w:line="276" w:lineRule="auto"/>
        <w:ind w:firstLine="420" w:firstLineChars="200"/>
        <w:rPr>
          <w:rFonts w:ascii="宋体" w:hAnsi="宋体" w:cs="宋体"/>
          <w:b/>
          <w:u w:val="single"/>
        </w:rPr>
      </w:pPr>
      <w:r>
        <w:rPr>
          <w:rFonts w:hint="eastAsia" w:ascii="宋体" w:hAnsi="宋体" w:cs="宋体"/>
        </w:rPr>
        <w:t>7.4.1发包人通过监理人向承包人提供测量基准点、基准线和水准点及其书面资料的期限：</w:t>
      </w:r>
      <w:r>
        <w:rPr>
          <w:rFonts w:hint="eastAsia" w:ascii="宋体" w:hAnsi="宋体" w:cs="宋体"/>
          <w:u w:val="single"/>
        </w:rPr>
        <w:t xml:space="preserve">  /  </w:t>
      </w:r>
      <w:r>
        <w:rPr>
          <w:rFonts w:hint="eastAsia" w:ascii="宋体" w:hAnsi="宋体" w:cs="宋体"/>
          <w:b/>
        </w:rPr>
        <w:t>。</w:t>
      </w:r>
    </w:p>
    <w:p>
      <w:pPr>
        <w:spacing w:after="120" w:line="276" w:lineRule="auto"/>
        <w:ind w:firstLine="420" w:firstLineChars="200"/>
        <w:rPr>
          <w:rFonts w:ascii="宋体" w:hAnsi="宋体" w:cs="宋体"/>
        </w:rPr>
      </w:pPr>
      <w:r>
        <w:rPr>
          <w:rFonts w:hint="eastAsia" w:ascii="宋体" w:hAnsi="宋体" w:cs="宋体"/>
        </w:rPr>
        <w:t>7.5 工期延误</w:t>
      </w:r>
    </w:p>
    <w:p>
      <w:pPr>
        <w:spacing w:line="276" w:lineRule="auto"/>
        <w:ind w:firstLine="420" w:firstLineChars="200"/>
        <w:rPr>
          <w:rFonts w:ascii="宋体" w:hAnsi="宋体" w:cs="宋体"/>
        </w:rPr>
      </w:pPr>
      <w:r>
        <w:rPr>
          <w:rFonts w:hint="eastAsia" w:ascii="宋体" w:hAnsi="宋体" w:cs="宋体"/>
        </w:rPr>
        <w:t>7.5.1 因发包人原因导致工期延误</w:t>
      </w:r>
    </w:p>
    <w:p>
      <w:pPr>
        <w:spacing w:line="276" w:lineRule="auto"/>
        <w:ind w:firstLine="420" w:firstLineChars="200"/>
        <w:rPr>
          <w:rFonts w:ascii="宋体" w:hAnsi="宋体" w:cs="宋体"/>
        </w:rPr>
      </w:pPr>
      <w:r>
        <w:rPr>
          <w:rFonts w:hint="eastAsia" w:ascii="宋体" w:hAnsi="宋体" w:cs="宋体"/>
        </w:rPr>
        <w:t>因发包人原因导致工期延误的其他情形：</w:t>
      </w:r>
      <w:r>
        <w:rPr>
          <w:rFonts w:hint="eastAsia" w:ascii="宋体" w:hAnsi="宋体" w:cs="宋体"/>
          <w:b/>
          <w:u w:val="single"/>
        </w:rPr>
        <w:t>①重大设计变更而影响施工进度；②政策处理问题影响施工进度；③不可抗力。</w:t>
      </w:r>
    </w:p>
    <w:p>
      <w:pPr>
        <w:spacing w:line="276" w:lineRule="auto"/>
        <w:ind w:firstLine="420" w:firstLineChars="200"/>
        <w:rPr>
          <w:rFonts w:ascii="宋体" w:hAnsi="宋体" w:cs="宋体"/>
        </w:rPr>
      </w:pPr>
      <w:r>
        <w:rPr>
          <w:rFonts w:hint="eastAsia" w:ascii="宋体" w:hAnsi="宋体" w:cs="宋体"/>
        </w:rPr>
        <w:t>7.5.2 因承包人原因导致工期延误</w:t>
      </w:r>
    </w:p>
    <w:p>
      <w:pPr>
        <w:spacing w:line="276" w:lineRule="auto"/>
        <w:ind w:firstLine="420" w:firstLineChars="200"/>
        <w:rPr>
          <w:rFonts w:ascii="宋体" w:hAnsi="宋体" w:cs="宋体"/>
          <w:b/>
          <w:color w:val="FF0000"/>
        </w:rPr>
      </w:pPr>
      <w:r>
        <w:rPr>
          <w:rFonts w:hint="eastAsia" w:ascii="宋体" w:hAnsi="宋体" w:cs="宋体"/>
        </w:rPr>
        <w:t>因承包人原因造成工期延误，逾期竣工违约金的计算方法为：</w:t>
      </w:r>
      <w:r>
        <w:rPr>
          <w:rFonts w:hint="eastAsia" w:ascii="宋体" w:hAnsi="宋体" w:cs="宋体"/>
          <w:b/>
          <w:color w:val="FF0000"/>
          <w:u w:val="single"/>
        </w:rPr>
        <w:t>每延期竣工一天，承包人向发包人支付合同金额的千分之一的违约金；工程延期15日以上的，每日按合同总价款千分之二向发包人支付违约金；延期竣工30日以上的，发包人有权解除合同，没收全部履约担保，并承担由此而对发包人产生的一切损失</w:t>
      </w:r>
      <w:r>
        <w:rPr>
          <w:rFonts w:hint="eastAsia" w:ascii="宋体" w:hAnsi="宋体" w:cs="宋体"/>
          <w:b/>
          <w:color w:val="FF0000"/>
        </w:rPr>
        <w:t>。</w:t>
      </w:r>
    </w:p>
    <w:p>
      <w:pPr>
        <w:spacing w:line="276" w:lineRule="auto"/>
        <w:rPr>
          <w:rFonts w:ascii="宋体" w:hAnsi="宋体" w:cs="宋体"/>
          <w:b/>
          <w:u w:val="single"/>
        </w:rPr>
      </w:pPr>
      <w:r>
        <w:rPr>
          <w:rFonts w:hint="eastAsia" w:ascii="宋体" w:hAnsi="宋体" w:cs="宋体"/>
        </w:rPr>
        <w:t>因承包人原因造成工期延误，逾期竣工违约金的上限</w:t>
      </w:r>
      <w:r>
        <w:rPr>
          <w:rFonts w:hint="eastAsia" w:ascii="宋体" w:hAnsi="宋体" w:cs="宋体"/>
          <w:b/>
          <w:u w:val="single"/>
        </w:rPr>
        <w:t xml:space="preserve">  / </w:t>
      </w:r>
      <w:r>
        <w:rPr>
          <w:rFonts w:hint="eastAsia" w:ascii="宋体" w:hAnsi="宋体" w:cs="宋体"/>
          <w:b/>
        </w:rPr>
        <w:t>。</w:t>
      </w:r>
    </w:p>
    <w:p>
      <w:pPr>
        <w:spacing w:after="120" w:line="276" w:lineRule="auto"/>
        <w:ind w:firstLine="420" w:firstLineChars="200"/>
        <w:rPr>
          <w:rFonts w:ascii="宋体" w:hAnsi="宋体" w:cs="宋体"/>
        </w:rPr>
      </w:pPr>
      <w:r>
        <w:rPr>
          <w:rFonts w:hint="eastAsia" w:ascii="宋体" w:hAnsi="宋体" w:cs="宋体"/>
        </w:rPr>
        <w:t>7</w:t>
      </w:r>
      <w:bookmarkStart w:id="95" w:name="_Toc300934971"/>
      <w:bookmarkStart w:id="96" w:name="_Toc312678015"/>
      <w:bookmarkStart w:id="97" w:name="_Toc297123519"/>
      <w:bookmarkStart w:id="98" w:name="_Toc304295549"/>
      <w:bookmarkStart w:id="99" w:name="_Toc297216178"/>
      <w:bookmarkStart w:id="100" w:name="_Toc303539128"/>
      <w:r>
        <w:rPr>
          <w:rFonts w:hint="eastAsia" w:ascii="宋体" w:hAnsi="宋体" w:cs="宋体"/>
        </w:rPr>
        <w:t>.6 不</w:t>
      </w:r>
      <w:bookmarkEnd w:id="95"/>
      <w:bookmarkEnd w:id="96"/>
      <w:bookmarkEnd w:id="97"/>
      <w:bookmarkEnd w:id="98"/>
      <w:bookmarkEnd w:id="99"/>
      <w:bookmarkEnd w:id="100"/>
      <w:r>
        <w:rPr>
          <w:rFonts w:hint="eastAsia" w:ascii="宋体" w:hAnsi="宋体" w:cs="宋体"/>
        </w:rPr>
        <w:t>利物质条件</w:t>
      </w:r>
    </w:p>
    <w:p>
      <w:pPr>
        <w:spacing w:line="276" w:lineRule="auto"/>
        <w:ind w:firstLine="420" w:firstLineChars="200"/>
        <w:rPr>
          <w:rFonts w:ascii="宋体" w:hAnsi="宋体" w:cs="宋体"/>
          <w:b/>
          <w:u w:val="single"/>
        </w:rPr>
      </w:pPr>
      <w:bookmarkStart w:id="101" w:name="_Toc297123520"/>
      <w:bookmarkStart w:id="102" w:name="_Toc300934972"/>
      <w:bookmarkStart w:id="103" w:name="_Toc304295550"/>
      <w:bookmarkStart w:id="104" w:name="_Toc318581172"/>
      <w:bookmarkStart w:id="105" w:name="_Toc312678016"/>
      <w:bookmarkStart w:id="106" w:name="_Toc303539129"/>
      <w:bookmarkStart w:id="107" w:name="_Toc297216179"/>
      <w:r>
        <w:rPr>
          <w:rFonts w:hint="eastAsia" w:ascii="宋体" w:hAnsi="宋体" w:cs="宋体"/>
        </w:rPr>
        <w:t>不利物质条件的其他情形和有关约定：</w:t>
      </w:r>
      <w:r>
        <w:rPr>
          <w:rFonts w:hint="eastAsia" w:ascii="宋体" w:hAnsi="宋体" w:cs="宋体"/>
          <w:b/>
          <w:u w:val="single"/>
        </w:rPr>
        <w:t xml:space="preserve">由承包人投标中自行踏勘现场，费用考虑在投标报价中 </w:t>
      </w:r>
      <w:r>
        <w:rPr>
          <w:rFonts w:hint="eastAsia" w:ascii="宋体" w:hAnsi="宋体" w:cs="宋体"/>
          <w:b/>
        </w:rPr>
        <w:t>。</w:t>
      </w:r>
    </w:p>
    <w:bookmarkEnd w:id="101"/>
    <w:bookmarkEnd w:id="102"/>
    <w:bookmarkEnd w:id="103"/>
    <w:bookmarkEnd w:id="104"/>
    <w:bookmarkEnd w:id="105"/>
    <w:bookmarkEnd w:id="106"/>
    <w:bookmarkEnd w:id="107"/>
    <w:p>
      <w:pPr>
        <w:spacing w:after="120" w:line="276" w:lineRule="auto"/>
        <w:ind w:firstLine="420" w:firstLineChars="200"/>
        <w:rPr>
          <w:rFonts w:ascii="宋体" w:hAnsi="宋体" w:cs="宋体"/>
        </w:rPr>
      </w:pPr>
      <w:r>
        <w:rPr>
          <w:rFonts w:hint="eastAsia" w:ascii="宋体" w:hAnsi="宋体" w:cs="宋体"/>
        </w:rPr>
        <w:t>7</w:t>
      </w:r>
      <w:bookmarkStart w:id="108" w:name="_Toc304295551"/>
      <w:bookmarkStart w:id="109" w:name="_Toc297216180"/>
      <w:bookmarkStart w:id="110" w:name="_Toc303539130"/>
      <w:bookmarkStart w:id="111" w:name="_Toc312678017"/>
      <w:bookmarkStart w:id="112" w:name="_Toc297123521"/>
      <w:bookmarkStart w:id="113" w:name="_Toc300934973"/>
      <w:r>
        <w:rPr>
          <w:rFonts w:hint="eastAsia" w:ascii="宋体" w:hAnsi="宋体" w:cs="宋体"/>
        </w:rPr>
        <w:t>.7异常恶劣的气候条件</w:t>
      </w:r>
    </w:p>
    <w:bookmarkEnd w:id="108"/>
    <w:bookmarkEnd w:id="109"/>
    <w:bookmarkEnd w:id="110"/>
    <w:bookmarkEnd w:id="111"/>
    <w:bookmarkEnd w:id="112"/>
    <w:bookmarkEnd w:id="113"/>
    <w:p>
      <w:pPr>
        <w:spacing w:line="276" w:lineRule="auto"/>
        <w:ind w:firstLine="420" w:firstLineChars="200"/>
        <w:rPr>
          <w:rFonts w:ascii="宋体" w:hAnsi="宋体" w:cs="宋体"/>
        </w:rPr>
      </w:pPr>
      <w:r>
        <w:rPr>
          <w:rFonts w:hint="eastAsia" w:ascii="宋体" w:hAnsi="宋体" w:cs="宋体"/>
        </w:rPr>
        <w:t>发包人和承包人同意以下情形视为异常恶劣的气候条件：</w:t>
      </w:r>
    </w:p>
    <w:p>
      <w:pPr>
        <w:spacing w:line="276" w:lineRule="auto"/>
        <w:ind w:firstLine="420" w:firstLineChars="200"/>
        <w:rPr>
          <w:rFonts w:ascii="宋体" w:hAnsi="宋体" w:cs="宋体"/>
        </w:rPr>
      </w:pPr>
      <w:r>
        <w:rPr>
          <w:rFonts w:hint="eastAsia" w:ascii="宋体" w:hAnsi="宋体" w:cs="宋体"/>
        </w:rPr>
        <w:t>（1）</w:t>
      </w:r>
      <w:r>
        <w:rPr>
          <w:rFonts w:hint="eastAsia" w:ascii="宋体" w:hAnsi="宋体" w:cs="宋体"/>
          <w:u w:val="single"/>
        </w:rPr>
        <w:t xml:space="preserve">    /</w:t>
      </w:r>
      <w:r>
        <w:rPr>
          <w:rFonts w:hint="eastAsia" w:ascii="宋体" w:hAnsi="宋体" w:cs="宋体"/>
          <w:b/>
          <w:u w:val="single"/>
        </w:rPr>
        <w:t xml:space="preserve">  </w:t>
      </w:r>
      <w:r>
        <w:rPr>
          <w:rFonts w:hint="eastAsia" w:ascii="宋体" w:hAnsi="宋体" w:cs="宋体"/>
          <w:u w:val="single"/>
        </w:rPr>
        <w:t xml:space="preserve">   </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7.9 提前竣工的奖励</w:t>
      </w:r>
    </w:p>
    <w:p>
      <w:pPr>
        <w:spacing w:line="276" w:lineRule="auto"/>
        <w:ind w:firstLine="420" w:firstLineChars="200"/>
        <w:rPr>
          <w:rFonts w:ascii="宋体" w:hAnsi="宋体" w:cs="宋体"/>
        </w:rPr>
      </w:pPr>
      <w:r>
        <w:rPr>
          <w:rFonts w:hint="eastAsia" w:ascii="宋体" w:hAnsi="宋体" w:cs="宋体"/>
        </w:rPr>
        <w:t>7.9.2提前竣工的奖励：</w:t>
      </w:r>
      <w:r>
        <w:rPr>
          <w:rFonts w:hint="eastAsia" w:ascii="宋体" w:hAnsi="宋体" w:cs="宋体"/>
          <w:u w:val="single"/>
        </w:rPr>
        <w:t xml:space="preserve">  </w:t>
      </w:r>
      <w:r>
        <w:rPr>
          <w:rFonts w:hint="eastAsia" w:ascii="宋体" w:hAnsi="宋体" w:cs="宋体"/>
          <w:b/>
          <w:u w:val="single"/>
        </w:rPr>
        <w:t xml:space="preserve">   /     </w:t>
      </w:r>
      <w:r>
        <w:rPr>
          <w:rFonts w:hint="eastAsia" w:ascii="宋体" w:hAnsi="宋体" w:cs="宋体"/>
        </w:rPr>
        <w:t>。</w:t>
      </w:r>
    </w:p>
    <w:p>
      <w:pPr>
        <w:pStyle w:val="5"/>
        <w:spacing w:line="276" w:lineRule="auto"/>
        <w:rPr>
          <w:rFonts w:ascii="宋体" w:hAnsi="宋体" w:cs="宋体"/>
          <w:b w:val="0"/>
          <w:sz w:val="24"/>
          <w:szCs w:val="24"/>
        </w:rPr>
      </w:pPr>
      <w:bookmarkStart w:id="114" w:name="_Toc351203640"/>
      <w:r>
        <w:rPr>
          <w:rFonts w:hint="eastAsia" w:ascii="宋体" w:hAnsi="宋体" w:cs="宋体"/>
          <w:b w:val="0"/>
          <w:sz w:val="24"/>
          <w:szCs w:val="24"/>
        </w:rPr>
        <w:t>8. 材料与设备</w:t>
      </w:r>
      <w:bookmarkEnd w:id="114"/>
    </w:p>
    <w:p>
      <w:pPr>
        <w:spacing w:after="120" w:line="276" w:lineRule="auto"/>
        <w:ind w:firstLine="420" w:firstLineChars="200"/>
        <w:rPr>
          <w:rFonts w:ascii="宋体" w:hAnsi="宋体" w:cs="宋体"/>
        </w:rPr>
      </w:pPr>
      <w:r>
        <w:rPr>
          <w:rFonts w:hint="eastAsia" w:ascii="宋体" w:hAnsi="宋体" w:cs="宋体"/>
        </w:rPr>
        <w:t>8</w:t>
      </w:r>
      <w:bookmarkStart w:id="115" w:name="_Toc312677493"/>
      <w:bookmarkStart w:id="116" w:name="_Toc292559372"/>
      <w:bookmarkStart w:id="117" w:name="_Toc297216186"/>
      <w:bookmarkStart w:id="118" w:name="_Toc312678019"/>
      <w:bookmarkStart w:id="119" w:name="_Toc304295556"/>
      <w:bookmarkStart w:id="120" w:name="_Toc296346668"/>
      <w:bookmarkStart w:id="121" w:name="_Toc296890995"/>
      <w:bookmarkStart w:id="122" w:name="_Toc280868654"/>
      <w:bookmarkStart w:id="123" w:name="_Toc296944506"/>
      <w:bookmarkStart w:id="124" w:name="_Toc297048353"/>
      <w:bookmarkStart w:id="125" w:name="_Toc292559877"/>
      <w:bookmarkStart w:id="126" w:name="_Toc297120467"/>
      <w:bookmarkStart w:id="127" w:name="_Toc300934979"/>
      <w:bookmarkStart w:id="128" w:name="_Toc296891207"/>
      <w:bookmarkStart w:id="129" w:name="_Toc303539136"/>
      <w:bookmarkStart w:id="130" w:name="_Toc296503167"/>
      <w:bookmarkStart w:id="131" w:name="_Toc296347166"/>
      <w:bookmarkStart w:id="132" w:name="_Toc297123527"/>
      <w:bookmarkStart w:id="133" w:name="_Toc267251424"/>
      <w:bookmarkStart w:id="134" w:name="_Toc280868656"/>
      <w:bookmarkStart w:id="135" w:name="_Toc280868655"/>
      <w:r>
        <w:rPr>
          <w:rFonts w:hint="eastAsia" w:ascii="宋体" w:hAnsi="宋体" w:cs="宋体"/>
        </w:rPr>
        <w:t>.4材料与工程设备的保管与使用</w:t>
      </w:r>
    </w:p>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Pr>
        <w:spacing w:line="276" w:lineRule="auto"/>
        <w:ind w:firstLine="420" w:firstLineChars="200"/>
        <w:rPr>
          <w:rFonts w:ascii="宋体" w:hAnsi="宋体" w:cs="宋体"/>
        </w:rPr>
      </w:pPr>
      <w:r>
        <w:rPr>
          <w:rFonts w:hint="eastAsia" w:ascii="宋体" w:hAnsi="宋体" w:cs="宋体"/>
        </w:rPr>
        <w:t>8</w:t>
      </w:r>
      <w:bookmarkStart w:id="136" w:name="_Toc292559373"/>
      <w:bookmarkStart w:id="137" w:name="_Toc292559878"/>
      <w:bookmarkStart w:id="138" w:name="_Toc296347167"/>
      <w:bookmarkStart w:id="139" w:name="_Toc296503168"/>
      <w:bookmarkStart w:id="140" w:name="_Toc297123528"/>
      <w:bookmarkStart w:id="141" w:name="_Toc297216187"/>
      <w:bookmarkStart w:id="142" w:name="_Toc296890996"/>
      <w:bookmarkStart w:id="143" w:name="_Toc312677494"/>
      <w:bookmarkStart w:id="144" w:name="_Toc296346669"/>
      <w:bookmarkStart w:id="145" w:name="_Toc297048354"/>
      <w:bookmarkStart w:id="146" w:name="_Toc296891208"/>
      <w:bookmarkStart w:id="147" w:name="_Toc296944507"/>
      <w:bookmarkStart w:id="148" w:name="_Toc300934980"/>
      <w:bookmarkStart w:id="149" w:name="_Toc312678020"/>
      <w:bookmarkStart w:id="150" w:name="_Toc297120468"/>
      <w:bookmarkStart w:id="151" w:name="_Toc303539137"/>
      <w:bookmarkStart w:id="152" w:name="_Toc304295557"/>
      <w:bookmarkStart w:id="153" w:name="_Toc318581173"/>
      <w:r>
        <w:rPr>
          <w:rFonts w:hint="eastAsia" w:ascii="宋体" w:hAnsi="宋体" w:cs="宋体"/>
        </w:rPr>
        <w:t>.4.1发包人供应的材料设备的保管费用的承担</w:t>
      </w:r>
      <w:r>
        <w:rPr>
          <w:rFonts w:hint="eastAsia" w:ascii="宋体" w:hAnsi="宋体" w:cs="宋体"/>
          <w:b/>
        </w:rPr>
        <w:t>：</w:t>
      </w:r>
      <w:r>
        <w:rPr>
          <w:rFonts w:hint="eastAsia" w:ascii="宋体" w:hAnsi="宋体" w:cs="宋体"/>
          <w:b/>
          <w:u w:val="single"/>
        </w:rPr>
        <w:t>由承包人承担</w:t>
      </w:r>
      <w:r>
        <w:rPr>
          <w:rFonts w:hint="eastAsia" w:ascii="宋体" w:hAnsi="宋体" w:cs="宋体"/>
        </w:rPr>
        <w:t>。</w:t>
      </w:r>
      <w:bookmarkEnd w:id="136"/>
      <w:bookmarkEnd w:id="137"/>
    </w:p>
    <w:p>
      <w:pPr>
        <w:spacing w:after="120" w:line="276" w:lineRule="auto"/>
        <w:ind w:firstLine="420" w:firstLineChars="200"/>
        <w:rPr>
          <w:rFonts w:ascii="宋体" w:hAnsi="宋体" w:cs="宋体"/>
        </w:rPr>
      </w:pPr>
      <w:r>
        <w:rPr>
          <w:rFonts w:hint="eastAsia" w:ascii="宋体" w:hAnsi="宋体" w:cs="宋体"/>
        </w:rPr>
        <w:t>8.6 样品</w:t>
      </w:r>
    </w:p>
    <w:p>
      <w:pPr>
        <w:autoSpaceDE w:val="0"/>
        <w:autoSpaceDN w:val="0"/>
        <w:adjustRightInd w:val="0"/>
        <w:spacing w:line="276" w:lineRule="auto"/>
        <w:ind w:firstLine="420" w:firstLineChars="200"/>
        <w:rPr>
          <w:rFonts w:ascii="宋体" w:hAnsi="宋体" w:cs="宋体"/>
        </w:rPr>
      </w:pPr>
      <w:r>
        <w:rPr>
          <w:rFonts w:hint="eastAsia" w:ascii="宋体" w:hAnsi="宋体" w:cs="宋体"/>
        </w:rPr>
        <w:t>8.6.1 样品的报送与封存</w:t>
      </w:r>
    </w:p>
    <w:p>
      <w:pPr>
        <w:autoSpaceDE w:val="0"/>
        <w:autoSpaceDN w:val="0"/>
        <w:adjustRightInd w:val="0"/>
        <w:spacing w:line="276" w:lineRule="auto"/>
        <w:rPr>
          <w:rFonts w:ascii="宋体" w:hAnsi="宋体" w:cs="宋体"/>
        </w:rPr>
      </w:pPr>
      <w:r>
        <w:rPr>
          <w:rFonts w:hint="eastAsia" w:ascii="宋体" w:hAnsi="宋体" w:cs="宋体"/>
        </w:rPr>
        <w:t>需要承包人报送样品的材料或工程设备，样品的种类、名称、规格、数量要求：</w:t>
      </w:r>
      <w:r>
        <w:rPr>
          <w:rFonts w:hint="eastAsia" w:ascii="宋体" w:hAnsi="宋体" w:cs="宋体"/>
          <w:b/>
          <w:u w:val="single"/>
        </w:rPr>
        <w:t>所有要求送检材料均要求严格按照规范及验收要求执行，费用全部由承包人承担</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8.8 施工设备和临时设施</w:t>
      </w:r>
    </w:p>
    <w:p>
      <w:pPr>
        <w:autoSpaceDE w:val="0"/>
        <w:autoSpaceDN w:val="0"/>
        <w:adjustRightInd w:val="0"/>
        <w:spacing w:line="276" w:lineRule="auto"/>
        <w:ind w:firstLine="420" w:firstLineChars="200"/>
        <w:rPr>
          <w:rFonts w:ascii="宋体" w:hAnsi="宋体" w:cs="宋体"/>
        </w:rPr>
      </w:pPr>
      <w:r>
        <w:rPr>
          <w:rFonts w:hint="eastAsia" w:ascii="宋体" w:hAnsi="宋体" w:cs="宋体"/>
        </w:rPr>
        <w:t>8.8.1 承包人提供的施工设备和临时设施</w:t>
      </w:r>
    </w:p>
    <w:p>
      <w:pPr>
        <w:autoSpaceDE w:val="0"/>
        <w:autoSpaceDN w:val="0"/>
        <w:adjustRightInd w:val="0"/>
        <w:spacing w:line="276" w:lineRule="auto"/>
        <w:ind w:firstLine="315" w:firstLineChars="150"/>
        <w:rPr>
          <w:rFonts w:ascii="宋体" w:hAnsi="宋体" w:cs="宋体"/>
          <w:b/>
        </w:rPr>
      </w:pPr>
      <w:r>
        <w:rPr>
          <w:rFonts w:hint="eastAsia" w:ascii="宋体" w:hAnsi="宋体" w:cs="宋体"/>
        </w:rPr>
        <w:t>关于修建临时设施费用承担的约定：</w:t>
      </w:r>
      <w:r>
        <w:rPr>
          <w:rFonts w:hint="eastAsia" w:ascii="宋体" w:hAnsi="宋体" w:cs="宋体"/>
          <w:b/>
          <w:u w:val="single"/>
        </w:rPr>
        <w:t>修建临时设施费由承包人承担</w:t>
      </w:r>
      <w:r>
        <w:rPr>
          <w:rFonts w:hint="eastAsia" w:ascii="宋体" w:hAnsi="宋体" w:cs="宋体"/>
          <w:b/>
        </w:rPr>
        <w:t>。</w:t>
      </w:r>
    </w:p>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Pr>
        <w:pStyle w:val="5"/>
        <w:spacing w:line="276" w:lineRule="auto"/>
        <w:rPr>
          <w:rFonts w:ascii="宋体" w:hAnsi="宋体" w:cs="宋体"/>
          <w:b w:val="0"/>
          <w:sz w:val="24"/>
          <w:szCs w:val="24"/>
        </w:rPr>
      </w:pPr>
      <w:bookmarkStart w:id="154" w:name="_Toc351203641"/>
      <w:r>
        <w:rPr>
          <w:rFonts w:hint="eastAsia" w:ascii="宋体" w:hAnsi="宋体" w:cs="宋体"/>
          <w:b w:val="0"/>
          <w:sz w:val="24"/>
          <w:szCs w:val="24"/>
        </w:rPr>
        <w:t>9</w:t>
      </w:r>
      <w:bookmarkEnd w:id="133"/>
      <w:bookmarkEnd w:id="134"/>
      <w:bookmarkEnd w:id="135"/>
      <w:bookmarkStart w:id="155" w:name="_Toc312678021"/>
      <w:bookmarkStart w:id="156" w:name="_Toc297216192"/>
      <w:bookmarkStart w:id="157" w:name="_Toc304295559"/>
      <w:bookmarkStart w:id="158" w:name="_Toc303539139"/>
      <w:bookmarkStart w:id="159" w:name="_Toc312677495"/>
      <w:bookmarkStart w:id="160" w:name="_Toc300934982"/>
      <w:bookmarkStart w:id="161" w:name="_Toc297123533"/>
      <w:bookmarkStart w:id="162" w:name="_Toc296346674"/>
      <w:bookmarkStart w:id="163" w:name="_Toc267251427"/>
      <w:bookmarkStart w:id="164" w:name="_Toc296891213"/>
      <w:bookmarkStart w:id="165" w:name="_Toc296503173"/>
      <w:bookmarkStart w:id="166" w:name="_Toc297120473"/>
      <w:bookmarkStart w:id="167" w:name="_Toc292559378"/>
      <w:bookmarkStart w:id="168" w:name="_Toc296944512"/>
      <w:bookmarkStart w:id="169" w:name="_Toc267251428"/>
      <w:bookmarkStart w:id="170" w:name="_Toc296347172"/>
      <w:bookmarkStart w:id="171" w:name="_Toc297048359"/>
      <w:bookmarkStart w:id="172" w:name="_Toc292559883"/>
      <w:bookmarkStart w:id="173" w:name="_Toc296891001"/>
      <w:r>
        <w:rPr>
          <w:rFonts w:hint="eastAsia" w:ascii="宋体" w:hAnsi="宋体" w:cs="宋体"/>
          <w:b w:val="0"/>
          <w:sz w:val="24"/>
          <w:szCs w:val="24"/>
        </w:rPr>
        <w:t>. 试验与检验</w:t>
      </w:r>
      <w:bookmarkEnd w:id="154"/>
    </w:p>
    <w:bookmarkEnd w:id="155"/>
    <w:bookmarkEnd w:id="156"/>
    <w:bookmarkEnd w:id="157"/>
    <w:bookmarkEnd w:id="158"/>
    <w:bookmarkEnd w:id="159"/>
    <w:bookmarkEnd w:id="160"/>
    <w:bookmarkEnd w:id="161"/>
    <w:p>
      <w:pPr>
        <w:spacing w:after="120" w:line="276" w:lineRule="auto"/>
        <w:ind w:firstLine="420" w:firstLineChars="200"/>
        <w:rPr>
          <w:rFonts w:ascii="宋体" w:hAnsi="宋体" w:cs="宋体"/>
        </w:rPr>
      </w:pPr>
      <w:r>
        <w:rPr>
          <w:rFonts w:hint="eastAsia" w:ascii="宋体" w:hAnsi="宋体" w:cs="宋体"/>
        </w:rPr>
        <w:t>9</w:t>
      </w:r>
      <w:bookmarkStart w:id="174" w:name="_Toc312677496"/>
      <w:bookmarkStart w:id="175" w:name="_Toc312678022"/>
      <w:bookmarkStart w:id="176" w:name="_Toc297216193"/>
      <w:bookmarkStart w:id="177" w:name="_Toc297123534"/>
      <w:bookmarkStart w:id="178" w:name="_Toc300934983"/>
      <w:bookmarkStart w:id="179" w:name="_Toc304295560"/>
      <w:bookmarkStart w:id="180" w:name="_Toc303539140"/>
      <w:r>
        <w:rPr>
          <w:rFonts w:hint="eastAsia" w:ascii="宋体" w:hAnsi="宋体" w:cs="宋体"/>
        </w:rPr>
        <w:t>.1试验设备与试验人员</w:t>
      </w:r>
    </w:p>
    <w:bookmarkEnd w:id="174"/>
    <w:bookmarkEnd w:id="175"/>
    <w:bookmarkEnd w:id="176"/>
    <w:bookmarkEnd w:id="177"/>
    <w:bookmarkEnd w:id="178"/>
    <w:bookmarkEnd w:id="179"/>
    <w:bookmarkEnd w:id="180"/>
    <w:p>
      <w:pPr>
        <w:spacing w:line="276" w:lineRule="auto"/>
        <w:ind w:firstLine="420" w:firstLineChars="200"/>
        <w:rPr>
          <w:rFonts w:ascii="宋体" w:hAnsi="宋体" w:cs="宋体"/>
        </w:rPr>
      </w:pPr>
      <w:r>
        <w:rPr>
          <w:rFonts w:hint="eastAsia" w:ascii="宋体" w:hAnsi="宋体" w:cs="宋体"/>
        </w:rPr>
        <w:t>9</w:t>
      </w:r>
      <w:bookmarkStart w:id="181" w:name="_Toc312678023"/>
      <w:bookmarkStart w:id="182" w:name="_Toc300934984"/>
      <w:bookmarkStart w:id="183" w:name="_Toc303539141"/>
      <w:bookmarkStart w:id="184" w:name="_Toc297216194"/>
      <w:bookmarkStart w:id="185" w:name="_Toc304295561"/>
      <w:bookmarkStart w:id="186" w:name="_Toc312677497"/>
      <w:bookmarkStart w:id="187" w:name="_Toc297123535"/>
      <w:bookmarkStart w:id="188" w:name="_Toc318581174"/>
      <w:r>
        <w:rPr>
          <w:rFonts w:hint="eastAsia" w:ascii="宋体" w:hAnsi="宋体" w:cs="宋体"/>
        </w:rPr>
        <w:t>.1.2 试验设备</w:t>
      </w:r>
    </w:p>
    <w:p>
      <w:pPr>
        <w:spacing w:line="276" w:lineRule="auto"/>
        <w:ind w:firstLine="315" w:firstLineChars="150"/>
        <w:rPr>
          <w:rFonts w:ascii="宋体" w:hAnsi="宋体" w:cs="宋体"/>
        </w:rPr>
      </w:pPr>
      <w:r>
        <w:rPr>
          <w:rFonts w:hint="eastAsia" w:ascii="宋体" w:hAnsi="宋体" w:cs="宋体"/>
        </w:rPr>
        <w:t>施工现场需要配置的试验场所：</w:t>
      </w:r>
      <w:bookmarkEnd w:id="181"/>
      <w:bookmarkEnd w:id="182"/>
      <w:bookmarkEnd w:id="183"/>
      <w:bookmarkEnd w:id="184"/>
      <w:bookmarkEnd w:id="185"/>
      <w:bookmarkEnd w:id="186"/>
      <w:bookmarkEnd w:id="187"/>
      <w:bookmarkStart w:id="189" w:name="_Toc297123536"/>
      <w:bookmarkStart w:id="190" w:name="_Toc312677498"/>
      <w:bookmarkStart w:id="191" w:name="_Toc303539142"/>
      <w:bookmarkStart w:id="192" w:name="_Toc297216195"/>
      <w:bookmarkStart w:id="193" w:name="_Toc312678024"/>
      <w:bookmarkStart w:id="194" w:name="_Toc304295562"/>
      <w:bookmarkStart w:id="195" w:name="_Toc300934985"/>
      <w:r>
        <w:rPr>
          <w:rFonts w:hint="eastAsia" w:ascii="宋体" w:hAnsi="宋体" w:cs="宋体"/>
          <w:b/>
          <w:u w:val="single"/>
        </w:rPr>
        <w:t>由承包人在施工现场平面图中考虑</w:t>
      </w:r>
      <w:r>
        <w:rPr>
          <w:rFonts w:hint="eastAsia" w:ascii="宋体" w:hAnsi="宋体" w:cs="宋体"/>
        </w:rPr>
        <w:t xml:space="preserve">。 </w:t>
      </w:r>
    </w:p>
    <w:p>
      <w:pPr>
        <w:spacing w:line="276" w:lineRule="auto"/>
        <w:ind w:firstLine="315" w:firstLineChars="150"/>
        <w:rPr>
          <w:rFonts w:ascii="宋体" w:hAnsi="宋体" w:cs="宋体"/>
        </w:rPr>
      </w:pPr>
      <w:r>
        <w:rPr>
          <w:rFonts w:hint="eastAsia" w:ascii="宋体" w:hAnsi="宋体" w:cs="宋体"/>
        </w:rPr>
        <w:t>施工现场需要配备的试验设备：</w:t>
      </w:r>
      <w:r>
        <w:rPr>
          <w:rFonts w:hint="eastAsia" w:ascii="宋体" w:hAnsi="宋体" w:cs="宋体"/>
          <w:b/>
          <w:u w:val="single"/>
        </w:rPr>
        <w:t>根据现场试验需要配置</w:t>
      </w:r>
      <w:r>
        <w:rPr>
          <w:rFonts w:hint="eastAsia" w:ascii="宋体" w:hAnsi="宋体" w:cs="宋体"/>
          <w:b/>
        </w:rPr>
        <w:t>。</w:t>
      </w:r>
    </w:p>
    <w:p>
      <w:pPr>
        <w:spacing w:line="276" w:lineRule="auto"/>
        <w:ind w:firstLine="315" w:firstLineChars="150"/>
        <w:rPr>
          <w:rFonts w:ascii="宋体" w:hAnsi="宋体" w:cs="宋体"/>
        </w:rPr>
      </w:pPr>
      <w:r>
        <w:rPr>
          <w:rFonts w:hint="eastAsia" w:ascii="宋体" w:hAnsi="宋体" w:cs="宋体"/>
        </w:rPr>
        <w:t>施工现场需要具备的其他试验条件：</w:t>
      </w:r>
      <w:r>
        <w:rPr>
          <w:rFonts w:hint="eastAsia" w:ascii="宋体" w:hAnsi="宋体" w:cs="宋体"/>
          <w:b/>
          <w:u w:val="single"/>
        </w:rPr>
        <w:t>根据现场试验需要</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 xml:space="preserve">9.4 现场工艺试验 </w:t>
      </w:r>
    </w:p>
    <w:p>
      <w:pPr>
        <w:spacing w:line="276" w:lineRule="auto"/>
        <w:ind w:firstLine="210" w:firstLineChars="100"/>
        <w:rPr>
          <w:rFonts w:ascii="宋体" w:hAnsi="宋体" w:cs="宋体"/>
        </w:rPr>
      </w:pPr>
      <w:r>
        <w:rPr>
          <w:rFonts w:hint="eastAsia" w:ascii="宋体" w:hAnsi="宋体" w:cs="宋体"/>
        </w:rPr>
        <w:t>现场工艺试验的有关约定：</w:t>
      </w:r>
      <w:r>
        <w:rPr>
          <w:rFonts w:hint="eastAsia" w:ascii="宋体" w:hAnsi="宋体" w:cs="宋体"/>
          <w:b/>
          <w:u w:val="single"/>
        </w:rPr>
        <w:t>根据发包人现场要求</w:t>
      </w:r>
      <w:r>
        <w:rPr>
          <w:rFonts w:hint="eastAsia" w:ascii="宋体" w:hAnsi="宋体" w:cs="宋体"/>
        </w:rPr>
        <w:t>。</w:t>
      </w:r>
    </w:p>
    <w:bookmarkEnd w:id="188"/>
    <w:bookmarkEnd w:id="189"/>
    <w:bookmarkEnd w:id="190"/>
    <w:bookmarkEnd w:id="191"/>
    <w:bookmarkEnd w:id="192"/>
    <w:bookmarkEnd w:id="193"/>
    <w:bookmarkEnd w:id="194"/>
    <w:bookmarkEnd w:id="195"/>
    <w:p>
      <w:pPr>
        <w:pStyle w:val="5"/>
        <w:spacing w:line="276" w:lineRule="auto"/>
        <w:rPr>
          <w:rFonts w:ascii="宋体" w:hAnsi="宋体" w:cs="宋体"/>
          <w:b w:val="0"/>
          <w:sz w:val="24"/>
          <w:szCs w:val="24"/>
        </w:rPr>
      </w:pPr>
      <w:bookmarkStart w:id="196" w:name="_Toc351203642"/>
      <w:r>
        <w:rPr>
          <w:rFonts w:hint="eastAsia" w:ascii="宋体" w:hAnsi="宋体" w:cs="宋体"/>
          <w:b w:val="0"/>
          <w:sz w:val="24"/>
          <w:szCs w:val="24"/>
        </w:rPr>
        <w:t>1</w:t>
      </w:r>
      <w:bookmarkEnd w:id="162"/>
      <w:bookmarkEnd w:id="163"/>
      <w:bookmarkEnd w:id="164"/>
      <w:bookmarkEnd w:id="165"/>
      <w:bookmarkEnd w:id="166"/>
      <w:bookmarkEnd w:id="167"/>
      <w:bookmarkEnd w:id="168"/>
      <w:bookmarkEnd w:id="169"/>
      <w:bookmarkEnd w:id="170"/>
      <w:bookmarkEnd w:id="171"/>
      <w:bookmarkEnd w:id="172"/>
      <w:bookmarkEnd w:id="173"/>
      <w:bookmarkStart w:id="197" w:name="_Toc304295566"/>
      <w:bookmarkStart w:id="198" w:name="_Toc296347192"/>
      <w:bookmarkStart w:id="199" w:name="_Toc296944532"/>
      <w:bookmarkStart w:id="200" w:name="_Toc297216199"/>
      <w:bookmarkStart w:id="201" w:name="_Toc296891233"/>
      <w:bookmarkStart w:id="202" w:name="_Toc300934989"/>
      <w:bookmarkStart w:id="203" w:name="_Toc292559903"/>
      <w:bookmarkStart w:id="204" w:name="_Toc296346694"/>
      <w:bookmarkStart w:id="205" w:name="_Toc297123540"/>
      <w:bookmarkStart w:id="206" w:name="_Toc297120493"/>
      <w:bookmarkStart w:id="207" w:name="_Toc303539146"/>
      <w:bookmarkStart w:id="208" w:name="_Toc296503193"/>
      <w:bookmarkStart w:id="209" w:name="_Toc292559398"/>
      <w:bookmarkStart w:id="210" w:name="_Toc296891021"/>
      <w:bookmarkStart w:id="211" w:name="_Toc297048379"/>
      <w:bookmarkStart w:id="212" w:name="_Toc312677499"/>
      <w:bookmarkStart w:id="213" w:name="_Toc312678025"/>
      <w:r>
        <w:rPr>
          <w:rFonts w:hint="eastAsia" w:ascii="宋体" w:hAnsi="宋体" w:cs="宋体"/>
          <w:b w:val="0"/>
          <w:sz w:val="24"/>
          <w:szCs w:val="24"/>
        </w:rPr>
        <w:t>0. 变更</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bookmarkEnd w:id="212"/>
    <w:bookmarkEnd w:id="213"/>
    <w:p>
      <w:pPr>
        <w:spacing w:after="120" w:line="276" w:lineRule="auto"/>
        <w:ind w:firstLine="420" w:firstLineChars="200"/>
        <w:rPr>
          <w:rFonts w:ascii="宋体" w:hAnsi="宋体" w:cs="宋体"/>
        </w:rPr>
      </w:pPr>
      <w:r>
        <w:rPr>
          <w:rFonts w:hint="eastAsia" w:ascii="宋体" w:hAnsi="宋体" w:cs="宋体"/>
        </w:rPr>
        <w:t>1</w:t>
      </w:r>
      <w:bookmarkStart w:id="214" w:name="_Toc296944533"/>
      <w:bookmarkStart w:id="215" w:name="_Toc297216200"/>
      <w:bookmarkStart w:id="216" w:name="_Toc292559399"/>
      <w:bookmarkStart w:id="217" w:name="_Toc312678026"/>
      <w:bookmarkStart w:id="218" w:name="_Toc297120494"/>
      <w:bookmarkStart w:id="219" w:name="_Toc296503194"/>
      <w:bookmarkStart w:id="220" w:name="_Toc296347193"/>
      <w:bookmarkStart w:id="221" w:name="_Toc296891234"/>
      <w:bookmarkStart w:id="222" w:name="_Toc296891022"/>
      <w:bookmarkStart w:id="223" w:name="_Toc297123541"/>
      <w:bookmarkStart w:id="224" w:name="_Toc292559904"/>
      <w:bookmarkStart w:id="225" w:name="_Toc303539147"/>
      <w:bookmarkStart w:id="226" w:name="_Toc312677500"/>
      <w:bookmarkStart w:id="227" w:name="_Toc297048380"/>
      <w:bookmarkStart w:id="228" w:name="_Toc300934990"/>
      <w:bookmarkStart w:id="229" w:name="_Toc304295567"/>
      <w:bookmarkStart w:id="230" w:name="_Toc296346695"/>
      <w:r>
        <w:rPr>
          <w:rFonts w:hint="eastAsia" w:ascii="宋体" w:hAnsi="宋体" w:cs="宋体"/>
        </w:rPr>
        <w:t>0.1变更的范围</w:t>
      </w:r>
    </w:p>
    <w:p>
      <w:pPr>
        <w:spacing w:line="276" w:lineRule="auto"/>
        <w:rPr>
          <w:rFonts w:ascii="宋体" w:hAnsi="宋体" w:cs="宋体"/>
        </w:rPr>
      </w:pPr>
      <w:r>
        <w:rPr>
          <w:rFonts w:hint="eastAsia" w:ascii="宋体" w:hAnsi="宋体" w:cs="宋体"/>
        </w:rPr>
        <w:t>关于变更的范围的约定：</w:t>
      </w:r>
      <w:r>
        <w:rPr>
          <w:rFonts w:hint="eastAsia" w:ascii="宋体" w:hAnsi="宋体" w:cs="宋体"/>
          <w:u w:val="single"/>
        </w:rPr>
        <w:t xml:space="preserve">   </w:t>
      </w:r>
      <w:r>
        <w:rPr>
          <w:rFonts w:hint="eastAsia" w:ascii="宋体" w:hAnsi="宋体" w:cs="宋体"/>
          <w:b/>
          <w:u w:val="single"/>
        </w:rPr>
        <w:t xml:space="preserve"> 执行通用条款</w:t>
      </w:r>
      <w:r>
        <w:rPr>
          <w:rFonts w:hint="eastAsia" w:ascii="宋体" w:hAnsi="宋体" w:cs="宋体"/>
          <w:u w:val="single"/>
        </w:rPr>
        <w:t xml:space="preserve">   </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10.4 变更估价</w:t>
      </w:r>
    </w:p>
    <w:p>
      <w:pPr>
        <w:spacing w:line="276" w:lineRule="auto"/>
        <w:ind w:firstLine="420" w:firstLineChars="200"/>
        <w:rPr>
          <w:rFonts w:ascii="宋体" w:hAnsi="宋体" w:cs="宋体"/>
        </w:rPr>
      </w:pPr>
      <w:r>
        <w:rPr>
          <w:rFonts w:hint="eastAsia" w:ascii="宋体" w:hAnsi="宋体" w:cs="宋体"/>
        </w:rPr>
        <w:t>10.4.1 变更估价原则</w:t>
      </w:r>
    </w:p>
    <w:p>
      <w:pPr>
        <w:spacing w:line="276" w:lineRule="auto"/>
        <w:ind w:firstLine="422" w:firstLineChars="200"/>
        <w:rPr>
          <w:rFonts w:ascii="宋体" w:hAnsi="宋体" w:cs="宋体"/>
          <w:b/>
          <w:u w:val="single"/>
        </w:rPr>
      </w:pPr>
      <w:r>
        <w:rPr>
          <w:rFonts w:hint="eastAsia" w:ascii="宋体" w:hAnsi="宋体" w:cs="宋体"/>
          <w:b/>
        </w:rPr>
        <w:t xml:space="preserve">关于变更估价的约定: </w:t>
      </w:r>
      <w:r>
        <w:rPr>
          <w:rFonts w:hint="eastAsia" w:ascii="宋体" w:hAnsi="宋体" w:cs="宋体"/>
          <w:b/>
          <w:color w:val="FF0000"/>
          <w:u w:val="single"/>
        </w:rPr>
        <w:t>由于设计变更、发包人签证的增减的工程量清单以外的施工内容，承包人投标报价中有相同或类似项目的，按照相同或类似项目计量；承包人投标报价中无相同或无类似项目的，由发包人（或委托有资质的中介单位）根据2018版《安徽省建设工程工程量清单计价办法》及其配套计价依据中的相关规，按新增工程量发生当月市场信息价等进行组价并按投标报价与最高限价的差额下浮比例调整确定结算综合单价，当月信息价缺项的按共同调研价执行，税金按实计算，其他费用均不再予以计取。在变更估价未定之前，承包人不得以此为理由延误施工，否则按违约处理</w:t>
      </w:r>
      <w:r>
        <w:rPr>
          <w:rFonts w:hint="eastAsia" w:ascii="宋体" w:hAnsi="宋体" w:cs="宋体"/>
          <w:b/>
          <w:color w:val="FF0000"/>
        </w:rPr>
        <w:t xml:space="preserve">。   </w:t>
      </w:r>
    </w:p>
    <w:p>
      <w:pPr>
        <w:spacing w:line="276" w:lineRule="auto"/>
        <w:ind w:firstLine="420" w:firstLineChars="200"/>
        <w:rPr>
          <w:rFonts w:ascii="宋体" w:hAnsi="宋体" w:cs="宋体"/>
        </w:rPr>
      </w:pPr>
      <w:r>
        <w:rPr>
          <w:rFonts w:hint="eastAsia" w:ascii="宋体" w:hAnsi="宋体" w:cs="宋体"/>
        </w:rPr>
        <w:t>1</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Start w:id="231" w:name="_Toc296347196"/>
      <w:bookmarkStart w:id="232" w:name="_Toc292559907"/>
      <w:bookmarkStart w:id="233" w:name="_Toc296944536"/>
      <w:bookmarkStart w:id="234" w:name="_Toc297120497"/>
      <w:bookmarkStart w:id="235" w:name="_Toc300934993"/>
      <w:bookmarkStart w:id="236" w:name="_Toc297048383"/>
      <w:bookmarkStart w:id="237" w:name="_Toc297123544"/>
      <w:bookmarkStart w:id="238" w:name="_Toc296346698"/>
      <w:bookmarkStart w:id="239" w:name="_Toc292559402"/>
      <w:bookmarkStart w:id="240" w:name="_Toc297216203"/>
      <w:bookmarkStart w:id="241" w:name="_Toc296891237"/>
      <w:bookmarkStart w:id="242" w:name="_Toc303539150"/>
      <w:bookmarkStart w:id="243" w:name="_Toc296503197"/>
      <w:bookmarkStart w:id="244" w:name="_Toc296891025"/>
      <w:bookmarkStart w:id="245" w:name="_Toc304295570"/>
      <w:bookmarkStart w:id="246" w:name="_Toc312678029"/>
      <w:bookmarkStart w:id="247" w:name="_Toc312677503"/>
      <w:r>
        <w:rPr>
          <w:rFonts w:hint="eastAsia" w:ascii="宋体" w:hAnsi="宋体" w:cs="宋体"/>
        </w:rPr>
        <w:t>0.5承</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Start w:id="248" w:name="_Toc296346704"/>
      <w:bookmarkStart w:id="249" w:name="_Toc297216204"/>
      <w:bookmarkStart w:id="250" w:name="_Toc296891243"/>
      <w:bookmarkStart w:id="251" w:name="_Toc296347202"/>
      <w:bookmarkStart w:id="252" w:name="_Toc303539151"/>
      <w:bookmarkStart w:id="253" w:name="_Toc292559408"/>
      <w:bookmarkStart w:id="254" w:name="_Toc296944542"/>
      <w:bookmarkStart w:id="255" w:name="_Toc300934994"/>
      <w:bookmarkStart w:id="256" w:name="_Toc296503203"/>
      <w:bookmarkStart w:id="257" w:name="_Toc296891031"/>
      <w:bookmarkStart w:id="258" w:name="_Toc297048389"/>
      <w:bookmarkStart w:id="259" w:name="_Toc297120503"/>
      <w:bookmarkStart w:id="260" w:name="_Toc297123545"/>
      <w:bookmarkStart w:id="261" w:name="_Toc292559913"/>
      <w:r>
        <w:rPr>
          <w:rFonts w:hint="eastAsia" w:ascii="宋体" w:hAnsi="宋体" w:cs="宋体"/>
        </w:rPr>
        <w:t>包人的合理化建议</w:t>
      </w:r>
    </w:p>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Pr>
        <w:spacing w:line="276" w:lineRule="auto"/>
        <w:ind w:firstLine="420" w:firstLineChars="200"/>
        <w:rPr>
          <w:rFonts w:ascii="宋体" w:hAnsi="宋体" w:cs="宋体"/>
        </w:rPr>
      </w:pPr>
      <w:r>
        <w:rPr>
          <w:rFonts w:hint="eastAsia" w:ascii="宋体" w:hAnsi="宋体" w:cs="宋体"/>
        </w:rPr>
        <w:t>监理人审查承包人合理化建议的期限：</w:t>
      </w:r>
      <w:r>
        <w:rPr>
          <w:rFonts w:hint="eastAsia" w:ascii="宋体" w:hAnsi="宋体" w:cs="宋体"/>
          <w:b/>
          <w:u w:val="single"/>
        </w:rPr>
        <w:t>3个日历天，最长不超过通用条款规定的期限。</w:t>
      </w:r>
    </w:p>
    <w:p>
      <w:pPr>
        <w:spacing w:line="276" w:lineRule="auto"/>
        <w:ind w:firstLine="420" w:firstLineChars="200"/>
        <w:rPr>
          <w:rFonts w:ascii="宋体" w:hAnsi="宋体" w:cs="宋体"/>
          <w:b/>
          <w:u w:val="single"/>
        </w:rPr>
      </w:pPr>
      <w:r>
        <w:rPr>
          <w:rFonts w:hint="eastAsia" w:ascii="宋体" w:hAnsi="宋体" w:cs="宋体"/>
        </w:rPr>
        <w:t>发包人审批承包人合理化建议的期限：</w:t>
      </w:r>
      <w:r>
        <w:rPr>
          <w:rFonts w:hint="eastAsia" w:ascii="宋体" w:hAnsi="宋体" w:cs="宋体"/>
          <w:b/>
          <w:u w:val="single"/>
        </w:rPr>
        <w:t>7个日历天，最长不超过通用条款规定的期限。</w:t>
      </w:r>
    </w:p>
    <w:p>
      <w:pPr>
        <w:spacing w:line="276" w:lineRule="auto"/>
        <w:rPr>
          <w:rFonts w:ascii="宋体" w:hAnsi="宋体" w:cs="宋体"/>
          <w:u w:val="single"/>
        </w:rPr>
      </w:pPr>
      <w:r>
        <w:rPr>
          <w:rFonts w:hint="eastAsia" w:ascii="宋体" w:hAnsi="宋体" w:cs="宋体"/>
        </w:rPr>
        <w:t>承</w:t>
      </w:r>
      <w:bookmarkStart w:id="262" w:name="_Toc318581175"/>
      <w:bookmarkStart w:id="263" w:name="_Toc297048390"/>
      <w:bookmarkStart w:id="264" w:name="_Toc297123546"/>
      <w:bookmarkStart w:id="265" w:name="_Toc312678030"/>
      <w:bookmarkStart w:id="266" w:name="_Toc296891032"/>
      <w:bookmarkStart w:id="267" w:name="_Toc292559914"/>
      <w:bookmarkStart w:id="268" w:name="_Toc296347203"/>
      <w:bookmarkStart w:id="269" w:name="_Toc292559409"/>
      <w:bookmarkStart w:id="270" w:name="_Toc297216205"/>
      <w:bookmarkStart w:id="271" w:name="_Toc296346705"/>
      <w:bookmarkStart w:id="272" w:name="_Toc300934995"/>
      <w:bookmarkStart w:id="273" w:name="_Toc312677504"/>
      <w:bookmarkStart w:id="274" w:name="_Toc297120504"/>
      <w:bookmarkStart w:id="275" w:name="_Toc296891244"/>
      <w:bookmarkStart w:id="276" w:name="_Toc296503204"/>
      <w:bookmarkStart w:id="277" w:name="_Toc303539152"/>
      <w:bookmarkStart w:id="278" w:name="_Toc304295571"/>
      <w:bookmarkStart w:id="279" w:name="_Toc296944543"/>
      <w:r>
        <w:rPr>
          <w:rFonts w:hint="eastAsia" w:ascii="宋体" w:hAnsi="宋体" w:cs="宋体"/>
        </w:rPr>
        <w:t>包人提出的合理化建议降低了合同价格或者提高了工程经济效益的奖励的方法和金额为</w:t>
      </w:r>
      <w:r>
        <w:rPr>
          <w:rFonts w:hint="eastAsia" w:ascii="宋体" w:hAnsi="宋体" w:cs="宋体"/>
          <w:b/>
        </w:rPr>
        <w:t>：</w:t>
      </w:r>
      <w:r>
        <w:rPr>
          <w:rFonts w:hint="eastAsia" w:ascii="宋体" w:hAnsi="宋体" w:cs="宋体"/>
          <w:b/>
          <w:u w:val="single"/>
        </w:rPr>
        <w:t>/</w:t>
      </w:r>
      <w:r>
        <w:rPr>
          <w:rFonts w:hint="eastAsia" w:ascii="宋体" w:hAnsi="宋体" w:cs="宋体"/>
          <w:b/>
        </w:rPr>
        <w:t>。</w:t>
      </w:r>
    </w:p>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Pr>
        <w:spacing w:after="120" w:line="276" w:lineRule="auto"/>
        <w:ind w:firstLine="420" w:firstLineChars="200"/>
        <w:rPr>
          <w:rFonts w:ascii="宋体" w:hAnsi="宋体" w:cs="宋体"/>
        </w:rPr>
      </w:pPr>
      <w:r>
        <w:rPr>
          <w:rFonts w:hint="eastAsia" w:ascii="宋体" w:hAnsi="宋体" w:cs="宋体"/>
        </w:rPr>
        <w:t>1</w:t>
      </w:r>
      <w:bookmarkStart w:id="280" w:name="_Toc297216207"/>
      <w:bookmarkStart w:id="281" w:name="_Toc292559909"/>
      <w:bookmarkStart w:id="282" w:name="_Toc312677507"/>
      <w:bookmarkStart w:id="283" w:name="_Toc296944538"/>
      <w:bookmarkStart w:id="284" w:name="_Toc303539154"/>
      <w:bookmarkStart w:id="285" w:name="_Toc300934997"/>
      <w:bookmarkStart w:id="286" w:name="_Toc312678033"/>
      <w:bookmarkStart w:id="287" w:name="_Toc297120499"/>
      <w:bookmarkStart w:id="288" w:name="_Toc297048385"/>
      <w:bookmarkStart w:id="289" w:name="_Toc296346700"/>
      <w:bookmarkStart w:id="290" w:name="_Toc297123548"/>
      <w:bookmarkStart w:id="291" w:name="_Toc304295574"/>
      <w:bookmarkStart w:id="292" w:name="_Toc296891027"/>
      <w:bookmarkStart w:id="293" w:name="_Toc296891239"/>
      <w:bookmarkStart w:id="294" w:name="_Toc292559404"/>
      <w:bookmarkStart w:id="295" w:name="_Toc296347198"/>
      <w:bookmarkStart w:id="296" w:name="_Toc296503199"/>
      <w:r>
        <w:rPr>
          <w:rFonts w:hint="eastAsia" w:ascii="宋体" w:hAnsi="宋体" w:cs="宋体"/>
        </w:rPr>
        <w:t>0.7 暂估价</w:t>
      </w:r>
    </w:p>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Pr>
        <w:spacing w:line="276" w:lineRule="auto"/>
        <w:ind w:firstLine="420" w:firstLineChars="200"/>
        <w:rPr>
          <w:rFonts w:ascii="宋体" w:hAnsi="宋体" w:cs="宋体"/>
        </w:rPr>
      </w:pPr>
      <w:r>
        <w:rPr>
          <w:rFonts w:hint="eastAsia" w:ascii="宋体" w:hAnsi="宋体" w:cs="宋体"/>
        </w:rPr>
        <w:t>暂</w:t>
      </w:r>
      <w:bookmarkStart w:id="297" w:name="_Toc318581176"/>
      <w:bookmarkStart w:id="298" w:name="_Toc312678034"/>
      <w:bookmarkStart w:id="299" w:name="_Toc312677508"/>
      <w:r>
        <w:rPr>
          <w:rFonts w:hint="eastAsia" w:ascii="宋体" w:hAnsi="宋体" w:cs="宋体"/>
        </w:rPr>
        <w:t>估价材料和工程设备的明细详见附件《暂估价一览表》（如有）。</w:t>
      </w:r>
    </w:p>
    <w:bookmarkEnd w:id="297"/>
    <w:bookmarkEnd w:id="298"/>
    <w:bookmarkEnd w:id="299"/>
    <w:p>
      <w:pPr>
        <w:spacing w:line="276" w:lineRule="auto"/>
        <w:ind w:firstLine="420" w:firstLineChars="200"/>
        <w:rPr>
          <w:rFonts w:ascii="宋体" w:hAnsi="宋体" w:cs="宋体"/>
        </w:rPr>
      </w:pPr>
      <w:r>
        <w:rPr>
          <w:rFonts w:hint="eastAsia" w:ascii="宋体" w:hAnsi="宋体" w:cs="宋体"/>
        </w:rPr>
        <w:t>1</w:t>
      </w:r>
      <w:bookmarkStart w:id="300" w:name="_Toc312678035"/>
      <w:bookmarkStart w:id="301" w:name="_Toc312677509"/>
      <w:bookmarkStart w:id="302" w:name="_Toc318581177"/>
      <w:r>
        <w:rPr>
          <w:rFonts w:hint="eastAsia" w:ascii="宋体" w:hAnsi="宋体" w:cs="宋体"/>
        </w:rPr>
        <w:t>0.7.1 依法必须招标的暂估价项目</w:t>
      </w:r>
    </w:p>
    <w:bookmarkEnd w:id="300"/>
    <w:bookmarkEnd w:id="301"/>
    <w:bookmarkEnd w:id="302"/>
    <w:p>
      <w:pPr>
        <w:spacing w:line="276" w:lineRule="auto"/>
        <w:ind w:firstLine="420" w:firstLineChars="200"/>
        <w:rPr>
          <w:rFonts w:ascii="宋体" w:hAnsi="宋体" w:cs="宋体"/>
        </w:rPr>
      </w:pPr>
      <w:r>
        <w:rPr>
          <w:rFonts w:hint="eastAsia" w:ascii="宋体" w:hAnsi="宋体" w:cs="宋体"/>
        </w:rPr>
        <w:t>对于依法必须招标的暂估价项目的确认和批准采取第</w:t>
      </w:r>
      <w:r>
        <w:rPr>
          <w:rFonts w:hint="eastAsia" w:ascii="宋体" w:hAnsi="宋体" w:cs="宋体"/>
          <w:u w:val="single"/>
        </w:rPr>
        <w:t xml:space="preserve"> </w:t>
      </w:r>
      <w:r>
        <w:rPr>
          <w:rFonts w:hint="eastAsia" w:ascii="宋体" w:hAnsi="宋体" w:cs="宋体"/>
          <w:b/>
          <w:u w:val="single"/>
        </w:rPr>
        <w:t>1</w:t>
      </w:r>
      <w:r>
        <w:rPr>
          <w:rFonts w:hint="eastAsia" w:ascii="宋体" w:hAnsi="宋体" w:cs="宋体"/>
        </w:rPr>
        <w:t>种方式确定。</w:t>
      </w:r>
    </w:p>
    <w:p>
      <w:pPr>
        <w:spacing w:line="276" w:lineRule="auto"/>
        <w:ind w:firstLine="420" w:firstLineChars="200"/>
        <w:rPr>
          <w:rFonts w:ascii="宋体" w:hAnsi="宋体" w:cs="宋体"/>
        </w:rPr>
      </w:pPr>
      <w:r>
        <w:rPr>
          <w:rFonts w:hint="eastAsia" w:ascii="宋体" w:hAnsi="宋体" w:cs="宋体"/>
        </w:rPr>
        <w:t>10.7.2 不属于依法必须招标的暂估价项目</w:t>
      </w:r>
    </w:p>
    <w:p>
      <w:pPr>
        <w:spacing w:line="276" w:lineRule="auto"/>
        <w:ind w:firstLine="420" w:firstLineChars="200"/>
        <w:rPr>
          <w:rFonts w:ascii="宋体" w:hAnsi="宋体" w:cs="宋体"/>
        </w:rPr>
      </w:pPr>
      <w:r>
        <w:rPr>
          <w:rFonts w:hint="eastAsia" w:ascii="宋体" w:hAnsi="宋体" w:cs="宋体"/>
        </w:rPr>
        <w:t>对于不属于依法必须招标的暂估价项目的确认和批准采取第</w:t>
      </w:r>
      <w:r>
        <w:rPr>
          <w:rFonts w:hint="eastAsia" w:ascii="宋体" w:hAnsi="宋体" w:cs="宋体"/>
          <w:u w:val="single"/>
        </w:rPr>
        <w:t xml:space="preserve"> </w:t>
      </w:r>
      <w:r>
        <w:rPr>
          <w:rFonts w:hint="eastAsia" w:ascii="宋体" w:hAnsi="宋体" w:cs="宋体"/>
          <w:b/>
          <w:u w:val="single"/>
        </w:rPr>
        <w:t>1</w:t>
      </w:r>
      <w:r>
        <w:rPr>
          <w:rFonts w:hint="eastAsia" w:ascii="宋体" w:hAnsi="宋体" w:cs="宋体"/>
        </w:rPr>
        <w:t>种方式确定。</w:t>
      </w:r>
    </w:p>
    <w:p>
      <w:pPr>
        <w:spacing w:line="276" w:lineRule="auto"/>
        <w:ind w:firstLine="420" w:firstLineChars="200"/>
        <w:rPr>
          <w:rFonts w:ascii="宋体" w:hAnsi="宋体" w:cs="宋体"/>
        </w:rPr>
      </w:pPr>
      <w:r>
        <w:rPr>
          <w:rFonts w:hint="eastAsia" w:ascii="宋体" w:hAnsi="宋体" w:cs="宋体"/>
        </w:rPr>
        <w:t>第3种方式：承包人直接实施的暂估价项目</w:t>
      </w:r>
    </w:p>
    <w:p>
      <w:pPr>
        <w:snapToGrid w:val="0"/>
        <w:spacing w:line="276" w:lineRule="auto"/>
        <w:ind w:firstLine="420" w:firstLineChars="200"/>
        <w:rPr>
          <w:rFonts w:ascii="宋体" w:hAnsi="宋体" w:cs="宋体"/>
          <w:b/>
        </w:rPr>
      </w:pPr>
      <w:r>
        <w:rPr>
          <w:rFonts w:hint="eastAsia" w:ascii="宋体" w:hAnsi="宋体" w:cs="宋体"/>
        </w:rPr>
        <w:t>承包人直接实施的暂估价项目的约定：</w:t>
      </w:r>
      <w:r>
        <w:rPr>
          <w:rFonts w:hint="eastAsia" w:ascii="宋体" w:hAnsi="宋体" w:cs="宋体"/>
          <w:b/>
          <w:u w:val="single"/>
        </w:rPr>
        <w:t>承包人自行报价项目由承包人自行采购施工，结算不予调整 。结算时实行暂估价的材料和设备的价差仅计取税金，不再计取其他费用</w:t>
      </w:r>
      <w:r>
        <w:rPr>
          <w:rFonts w:hint="eastAsia" w:ascii="宋体" w:hAnsi="宋体" w:cs="宋体"/>
          <w:b/>
        </w:rPr>
        <w:t>。</w:t>
      </w:r>
    </w:p>
    <w:p>
      <w:pPr>
        <w:spacing w:after="120" w:line="276" w:lineRule="auto"/>
        <w:ind w:firstLine="420" w:firstLineChars="200"/>
        <w:rPr>
          <w:rFonts w:ascii="宋体" w:hAnsi="宋体" w:cs="宋体"/>
        </w:rPr>
      </w:pPr>
      <w:r>
        <w:rPr>
          <w:rFonts w:hint="eastAsia" w:ascii="宋体" w:hAnsi="宋体" w:cs="宋体"/>
        </w:rPr>
        <w:t>10.8 暂列金额</w:t>
      </w:r>
    </w:p>
    <w:p>
      <w:pPr>
        <w:autoSpaceDE w:val="0"/>
        <w:autoSpaceDN w:val="0"/>
        <w:adjustRightInd w:val="0"/>
        <w:spacing w:line="276" w:lineRule="auto"/>
        <w:ind w:firstLine="420" w:firstLineChars="200"/>
        <w:rPr>
          <w:rFonts w:ascii="宋体" w:hAnsi="宋体" w:cs="宋体"/>
        </w:rPr>
      </w:pPr>
      <w:r>
        <w:rPr>
          <w:rFonts w:hint="eastAsia" w:ascii="宋体" w:hAnsi="宋体" w:cs="宋体"/>
        </w:rPr>
        <w:t>合同当事人关于暂列金额使用的约定：</w:t>
      </w:r>
      <w:r>
        <w:rPr>
          <w:rFonts w:hint="eastAsia" w:ascii="宋体" w:hAnsi="宋体" w:cs="宋体"/>
          <w:b/>
          <w:u w:val="single"/>
        </w:rPr>
        <w:t xml:space="preserve">  / </w:t>
      </w:r>
      <w:r>
        <w:rPr>
          <w:rFonts w:hint="eastAsia" w:ascii="宋体" w:hAnsi="宋体" w:cs="宋体"/>
          <w:b/>
        </w:rPr>
        <w:t>。</w:t>
      </w:r>
    </w:p>
    <w:p>
      <w:pPr>
        <w:pStyle w:val="5"/>
        <w:spacing w:line="276" w:lineRule="auto"/>
        <w:rPr>
          <w:rFonts w:ascii="宋体" w:hAnsi="宋体" w:cs="宋体"/>
          <w:b w:val="0"/>
          <w:sz w:val="24"/>
          <w:szCs w:val="24"/>
        </w:rPr>
      </w:pPr>
      <w:r>
        <w:rPr>
          <w:rFonts w:hint="eastAsia" w:ascii="宋体" w:hAnsi="宋体" w:cs="宋体"/>
          <w:b w:val="0"/>
          <w:sz w:val="24"/>
          <w:szCs w:val="24"/>
        </w:rPr>
        <w:t>11. 价格调整</w:t>
      </w:r>
    </w:p>
    <w:p>
      <w:pPr>
        <w:spacing w:after="120" w:line="276" w:lineRule="auto"/>
        <w:ind w:firstLine="420" w:firstLineChars="200"/>
        <w:rPr>
          <w:rFonts w:ascii="宋体" w:hAnsi="宋体" w:cs="宋体"/>
        </w:rPr>
      </w:pPr>
      <w:r>
        <w:rPr>
          <w:rFonts w:hint="eastAsia" w:ascii="宋体" w:hAnsi="宋体" w:cs="宋体"/>
        </w:rPr>
        <w:t>11.1 市场价格波动引起的调整</w:t>
      </w:r>
    </w:p>
    <w:p>
      <w:pPr>
        <w:spacing w:line="276" w:lineRule="auto"/>
        <w:ind w:firstLine="420" w:firstLineChars="200"/>
        <w:rPr>
          <w:rFonts w:ascii="宋体" w:hAnsi="宋体" w:cs="宋体"/>
        </w:rPr>
      </w:pPr>
      <w:r>
        <w:rPr>
          <w:rFonts w:hint="eastAsia" w:ascii="宋体" w:hAnsi="宋体" w:cs="宋体"/>
        </w:rPr>
        <w:t>市场价格波动是否调整合同价格的约定：</w:t>
      </w:r>
      <w:r>
        <w:rPr>
          <w:rFonts w:hint="eastAsia" w:ascii="宋体" w:hAnsi="宋体" w:cs="宋体"/>
          <w:b/>
          <w:u w:val="single"/>
        </w:rPr>
        <w:t>市场价格波动不调整合同价格</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因市场价格波动调整合同价格，采用以下第</w:t>
      </w:r>
      <w:r>
        <w:rPr>
          <w:rFonts w:hint="eastAsia" w:ascii="宋体" w:hAnsi="宋体" w:cs="宋体"/>
          <w:b/>
          <w:u w:val="single"/>
        </w:rPr>
        <w:t xml:space="preserve"> / </w:t>
      </w:r>
      <w:r>
        <w:rPr>
          <w:rFonts w:hint="eastAsia" w:ascii="宋体" w:hAnsi="宋体" w:cs="宋体"/>
        </w:rPr>
        <w:t>种方式对合同价格进行调整：</w:t>
      </w:r>
    </w:p>
    <w:p>
      <w:pPr>
        <w:spacing w:line="276" w:lineRule="auto"/>
        <w:ind w:firstLine="420" w:firstLineChars="200"/>
        <w:rPr>
          <w:rFonts w:ascii="宋体" w:hAnsi="宋体" w:cs="宋体"/>
        </w:rPr>
      </w:pPr>
      <w:r>
        <w:rPr>
          <w:rFonts w:hint="eastAsia" w:ascii="宋体" w:hAnsi="宋体" w:cs="宋体"/>
        </w:rPr>
        <w:t>第1种方式：采用价格指数进行价格调整。</w:t>
      </w:r>
    </w:p>
    <w:p>
      <w:pPr>
        <w:spacing w:line="276" w:lineRule="auto"/>
        <w:ind w:firstLine="420" w:firstLineChars="200"/>
        <w:rPr>
          <w:rFonts w:ascii="宋体" w:hAnsi="宋体" w:cs="宋体"/>
          <w:u w:val="single"/>
        </w:rPr>
      </w:pPr>
      <w:r>
        <w:rPr>
          <w:rFonts w:hint="eastAsia" w:ascii="宋体" w:hAnsi="宋体" w:cs="宋体"/>
        </w:rPr>
        <w:t>关于各可调因子、定值和变值权重，以及基本价格指数及其来源的约定：</w:t>
      </w:r>
      <w:r>
        <w:rPr>
          <w:rFonts w:hint="eastAsia" w:ascii="宋体" w:hAnsi="宋体" w:cs="宋体"/>
          <w:u w:val="single"/>
        </w:rPr>
        <w:t xml:space="preserve">  /  </w:t>
      </w:r>
      <w:r>
        <w:rPr>
          <w:rFonts w:hint="eastAsia" w:ascii="宋体" w:hAnsi="宋体" w:cs="宋体"/>
        </w:rPr>
        <w:t xml:space="preserve">；  </w:t>
      </w:r>
    </w:p>
    <w:p>
      <w:pPr>
        <w:spacing w:line="276" w:lineRule="auto"/>
        <w:ind w:firstLine="420" w:firstLineChars="200"/>
        <w:rPr>
          <w:rFonts w:ascii="宋体" w:hAnsi="宋体" w:cs="宋体"/>
        </w:rPr>
      </w:pPr>
      <w:r>
        <w:rPr>
          <w:rFonts w:hint="eastAsia" w:ascii="宋体" w:hAnsi="宋体" w:cs="宋体"/>
        </w:rPr>
        <w:t>第2种方式：采用造价信息进行价格调整。</w:t>
      </w:r>
    </w:p>
    <w:p>
      <w:pPr>
        <w:spacing w:line="276" w:lineRule="auto"/>
        <w:ind w:firstLine="420" w:firstLineChars="200"/>
        <w:rPr>
          <w:rFonts w:ascii="宋体" w:hAnsi="宋体" w:cs="宋体"/>
        </w:rPr>
      </w:pPr>
      <w:r>
        <w:rPr>
          <w:rFonts w:hint="eastAsia" w:ascii="宋体" w:hAnsi="宋体" w:cs="宋体"/>
        </w:rPr>
        <w:t>（2）关于基准价格的约定：</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专用合同条款①承包人在已标价工程量清单或预算书中载明的材料单价低于基准价格的：专用合同条款合同履行期间材料单价涨幅以基准价格为基础超过</w:t>
      </w:r>
      <w:r>
        <w:rPr>
          <w:rFonts w:hint="eastAsia" w:ascii="宋体" w:hAnsi="宋体" w:cs="宋体"/>
          <w:u w:val="single"/>
        </w:rPr>
        <w:t xml:space="preserve"> / </w:t>
      </w:r>
      <w:r>
        <w:rPr>
          <w:rFonts w:hint="eastAsia" w:ascii="宋体" w:hAnsi="宋体" w:cs="宋体"/>
        </w:rPr>
        <w:t>%时，或材料单价跌幅以已标价工程量清单或预算书中载明材料单价为基础超过</w:t>
      </w:r>
      <w:r>
        <w:rPr>
          <w:rFonts w:hint="eastAsia" w:ascii="宋体" w:hAnsi="宋体" w:cs="宋体"/>
          <w:u w:val="single"/>
        </w:rPr>
        <w:t xml:space="preserve"> / </w:t>
      </w:r>
      <w:r>
        <w:rPr>
          <w:rFonts w:hint="eastAsia" w:ascii="宋体" w:hAnsi="宋体" w:cs="宋体"/>
        </w:rPr>
        <w:t>%时，其超过部分据实调整。</w:t>
      </w:r>
    </w:p>
    <w:p>
      <w:pPr>
        <w:spacing w:line="276" w:lineRule="auto"/>
        <w:ind w:firstLine="420" w:firstLineChars="200"/>
        <w:rPr>
          <w:rFonts w:ascii="宋体" w:hAnsi="宋体" w:cs="宋体"/>
        </w:rPr>
      </w:pPr>
      <w:r>
        <w:rPr>
          <w:rFonts w:hint="eastAsia" w:ascii="宋体" w:hAnsi="宋体" w:cs="宋体"/>
        </w:rPr>
        <w:t>②承包人在已标价工程量清单或预算书中载明的材料单价高于基准价格的：专用合同条款合同履行期间材料单价跌幅以基准价格为基础超过</w:t>
      </w:r>
      <w:r>
        <w:rPr>
          <w:rFonts w:hint="eastAsia" w:ascii="宋体" w:hAnsi="宋体" w:cs="宋体"/>
          <w:u w:val="single"/>
        </w:rPr>
        <w:t xml:space="preserve">  / </w:t>
      </w:r>
      <w:r>
        <w:rPr>
          <w:rFonts w:hint="eastAsia" w:ascii="宋体" w:hAnsi="宋体" w:cs="宋体"/>
        </w:rPr>
        <w:t>%时，材料单价涨幅以已标价工程量清单或预算书中载明材料单价为基础超过</w:t>
      </w:r>
      <w:r>
        <w:rPr>
          <w:rFonts w:hint="eastAsia" w:ascii="宋体" w:hAnsi="宋体" w:cs="宋体"/>
          <w:u w:val="single"/>
        </w:rPr>
        <w:t xml:space="preserve">  / </w:t>
      </w:r>
      <w:r>
        <w:rPr>
          <w:rFonts w:hint="eastAsia" w:ascii="宋体" w:hAnsi="宋体" w:cs="宋体"/>
        </w:rPr>
        <w:t>%时，其超过部分据实调整。</w:t>
      </w:r>
    </w:p>
    <w:p>
      <w:pPr>
        <w:spacing w:line="276" w:lineRule="auto"/>
        <w:ind w:firstLine="645"/>
        <w:rPr>
          <w:rFonts w:ascii="宋体" w:hAnsi="宋体" w:cs="宋体"/>
        </w:rPr>
      </w:pPr>
      <w:r>
        <w:rPr>
          <w:rFonts w:hint="eastAsia" w:ascii="宋体" w:hAnsi="宋体" w:cs="宋体"/>
        </w:rPr>
        <w:t>③承包人在已标价工程量清单或预算书中载明的材料单价等于基准单价的：专用合同条款合同履行期间材料单价涨跌幅以基准单价为基础超过±</w:t>
      </w:r>
      <w:r>
        <w:rPr>
          <w:rFonts w:hint="eastAsia" w:ascii="宋体" w:hAnsi="宋体" w:cs="宋体"/>
          <w:u w:val="single"/>
        </w:rPr>
        <w:t xml:space="preserve">  / </w:t>
      </w:r>
      <w:r>
        <w:rPr>
          <w:rFonts w:hint="eastAsia" w:ascii="宋体" w:hAnsi="宋体" w:cs="宋体"/>
        </w:rPr>
        <w:t>%时，其超过部分据实调整。</w:t>
      </w:r>
    </w:p>
    <w:p>
      <w:pPr>
        <w:autoSpaceDE w:val="0"/>
        <w:autoSpaceDN w:val="0"/>
        <w:adjustRightInd w:val="0"/>
        <w:spacing w:line="276" w:lineRule="auto"/>
        <w:ind w:firstLine="525" w:firstLineChars="250"/>
        <w:rPr>
          <w:rFonts w:ascii="宋体" w:hAnsi="宋体" w:cs="宋体"/>
          <w:u w:val="single"/>
        </w:rPr>
      </w:pPr>
      <w:r>
        <w:rPr>
          <w:rFonts w:hint="eastAsia" w:ascii="宋体" w:hAnsi="宋体" w:cs="宋体"/>
        </w:rPr>
        <w:t>第3种方式：其他价格调整方式</w:t>
      </w:r>
      <w:r>
        <w:rPr>
          <w:rFonts w:hint="eastAsia" w:ascii="宋体" w:hAnsi="宋体" w:cs="宋体"/>
          <w:u w:val="single"/>
        </w:rPr>
        <w:t xml:space="preserve">：  /    </w:t>
      </w:r>
    </w:p>
    <w:p>
      <w:pPr>
        <w:pStyle w:val="5"/>
        <w:spacing w:line="276" w:lineRule="auto"/>
        <w:rPr>
          <w:rFonts w:ascii="宋体" w:hAnsi="宋体" w:cs="宋体"/>
          <w:b w:val="0"/>
          <w:sz w:val="24"/>
          <w:szCs w:val="24"/>
        </w:rPr>
      </w:pPr>
      <w:r>
        <w:rPr>
          <w:rFonts w:hint="eastAsia" w:ascii="宋体" w:hAnsi="宋体" w:cs="宋体"/>
          <w:b w:val="0"/>
          <w:sz w:val="24"/>
          <w:szCs w:val="24"/>
        </w:rPr>
        <w:t>12. 合同价格、计量与支付</w:t>
      </w:r>
    </w:p>
    <w:p>
      <w:pPr>
        <w:spacing w:after="120" w:line="276" w:lineRule="auto"/>
        <w:ind w:firstLine="420" w:firstLineChars="200"/>
        <w:rPr>
          <w:rFonts w:ascii="宋体" w:hAnsi="宋体" w:cs="宋体"/>
        </w:rPr>
      </w:pPr>
      <w:r>
        <w:rPr>
          <w:rFonts w:hint="eastAsia" w:ascii="宋体" w:hAnsi="宋体" w:cs="宋体"/>
        </w:rPr>
        <w:t>12.1 合同价格形式</w:t>
      </w:r>
    </w:p>
    <w:p>
      <w:pPr>
        <w:spacing w:line="276" w:lineRule="auto"/>
        <w:ind w:firstLine="420" w:firstLineChars="200"/>
        <w:rPr>
          <w:rFonts w:ascii="宋体" w:hAnsi="宋体" w:cs="宋体"/>
        </w:rPr>
      </w:pPr>
      <w:r>
        <w:rPr>
          <w:rFonts w:hint="eastAsia" w:ascii="宋体" w:hAnsi="宋体" w:cs="宋体"/>
        </w:rPr>
        <w:t>2、总价合同。</w:t>
      </w:r>
    </w:p>
    <w:p>
      <w:pPr>
        <w:spacing w:line="276" w:lineRule="auto"/>
        <w:ind w:left="317" w:leftChars="151" w:firstLine="420" w:firstLineChars="200"/>
        <w:rPr>
          <w:rFonts w:ascii="宋体" w:hAnsi="宋体" w:cs="宋体"/>
        </w:rPr>
      </w:pPr>
      <w:r>
        <w:rPr>
          <w:rFonts w:hint="eastAsia" w:ascii="宋体" w:hAnsi="宋体" w:cs="宋体"/>
        </w:rPr>
        <w:t>总价包含的风险范围：</w:t>
      </w:r>
      <w:r>
        <w:rPr>
          <w:rFonts w:hint="eastAsia" w:ascii="宋体" w:hAnsi="宋体" w:cs="宋体"/>
          <w:b/>
          <w:u w:val="single"/>
        </w:rPr>
        <w:t>除本合同约定可以调价的因素外，各种因素引起的材料价格、人工工资、施工机械使用费、管理费、利润等变化及风险因素</w:t>
      </w:r>
      <w:r>
        <w:rPr>
          <w:rFonts w:hint="eastAsia" w:ascii="宋体" w:hAnsi="宋体" w:cs="宋体"/>
          <w:b/>
        </w:rPr>
        <w:t>。</w:t>
      </w:r>
    </w:p>
    <w:p>
      <w:pPr>
        <w:spacing w:line="276" w:lineRule="auto"/>
        <w:ind w:left="317" w:leftChars="151" w:firstLine="420" w:firstLineChars="200"/>
        <w:rPr>
          <w:rFonts w:ascii="宋体" w:hAnsi="宋体" w:cs="宋体"/>
          <w:u w:val="single"/>
        </w:rPr>
      </w:pPr>
      <w:r>
        <w:rPr>
          <w:rFonts w:hint="eastAsia" w:ascii="宋体" w:hAnsi="宋体" w:cs="宋体"/>
        </w:rPr>
        <w:t>同时，除设计变更、经济签证、政策性调整及合同约定的可调价格外，在出现下述所列任一情况的合同总价也不予调整：</w:t>
      </w:r>
    </w:p>
    <w:p>
      <w:pPr>
        <w:spacing w:line="276" w:lineRule="auto"/>
        <w:ind w:left="317" w:leftChars="151" w:firstLine="422" w:firstLineChars="200"/>
        <w:rPr>
          <w:rFonts w:ascii="宋体" w:hAnsi="宋体" w:cs="宋体"/>
          <w:b/>
          <w:u w:val="single"/>
        </w:rPr>
      </w:pPr>
      <w:r>
        <w:rPr>
          <w:rFonts w:hint="eastAsia" w:ascii="宋体" w:hAnsi="宋体" w:cs="宋体"/>
          <w:b/>
          <w:u w:val="single"/>
        </w:rPr>
        <w:t>(1）因市场变化等因素导致工程造价变化的一律不得调整合同价款（发包人指定的可调价格主材除外）</w:t>
      </w:r>
      <w:r>
        <w:rPr>
          <w:rFonts w:hint="eastAsia" w:ascii="宋体" w:hAnsi="宋体" w:cs="宋体"/>
          <w:b/>
        </w:rPr>
        <w:t xml:space="preserve">。 </w:t>
      </w:r>
    </w:p>
    <w:p>
      <w:pPr>
        <w:spacing w:line="276" w:lineRule="auto"/>
        <w:ind w:left="317" w:leftChars="151" w:firstLine="422" w:firstLineChars="200"/>
        <w:rPr>
          <w:rFonts w:ascii="宋体" w:hAnsi="宋体" w:cs="宋体"/>
          <w:b/>
        </w:rPr>
      </w:pPr>
      <w:r>
        <w:rPr>
          <w:rFonts w:hint="eastAsia" w:ascii="宋体" w:hAnsi="宋体" w:cs="宋体"/>
          <w:b/>
          <w:u w:val="single"/>
        </w:rPr>
        <w:t>(2）因投标时采用的技术措施或组织措施考虑不足，不能满足施工要求需要调整方案，造成费用增加的一律不得调整合同价款</w:t>
      </w:r>
      <w:r>
        <w:rPr>
          <w:rFonts w:hint="eastAsia" w:ascii="宋体" w:hAnsi="宋体" w:cs="宋体"/>
          <w:b/>
        </w:rPr>
        <w:t>。</w:t>
      </w:r>
    </w:p>
    <w:p>
      <w:pPr>
        <w:spacing w:line="276" w:lineRule="auto"/>
        <w:ind w:left="317" w:leftChars="151" w:firstLine="422" w:firstLineChars="200"/>
        <w:rPr>
          <w:rFonts w:ascii="宋体" w:hAnsi="宋体" w:cs="宋体"/>
          <w:b/>
        </w:rPr>
      </w:pPr>
      <w:r>
        <w:rPr>
          <w:rFonts w:hint="eastAsia" w:ascii="宋体" w:hAnsi="宋体" w:cs="宋体"/>
          <w:b/>
          <w:u w:val="single"/>
        </w:rPr>
        <w:t>(3）因天气、地形、施工环境等条件发生变化，采取临时措施增加的费用一律不得调整合同价款</w:t>
      </w:r>
      <w:r>
        <w:rPr>
          <w:rFonts w:hint="eastAsia" w:ascii="宋体" w:hAnsi="宋体" w:cs="宋体"/>
          <w:b/>
        </w:rPr>
        <w:t>。</w:t>
      </w:r>
    </w:p>
    <w:p>
      <w:pPr>
        <w:spacing w:line="276" w:lineRule="auto"/>
        <w:ind w:left="317" w:leftChars="151" w:firstLine="422" w:firstLineChars="200"/>
        <w:rPr>
          <w:rFonts w:ascii="宋体" w:hAnsi="宋体" w:cs="宋体"/>
          <w:b/>
        </w:rPr>
      </w:pPr>
      <w:r>
        <w:rPr>
          <w:rFonts w:hint="eastAsia" w:ascii="宋体" w:hAnsi="宋体" w:cs="宋体"/>
          <w:b/>
          <w:u w:val="single"/>
        </w:rPr>
        <w:t>(4）场地内（包括地上与地下）可预见的障碍物（如孤石、条石、旧基础、旧管线、砼地坪等）的破除清运，以及地质勘查报告已明确或可以判断推断的地质情况（如土质、岩石及类别情况等）不论工程量大小、施工难易、运距远近，均不得调整合同价款</w:t>
      </w:r>
      <w:r>
        <w:rPr>
          <w:rFonts w:hint="eastAsia" w:ascii="宋体" w:hAnsi="宋体" w:cs="宋体"/>
          <w:b/>
        </w:rPr>
        <w:t>。</w:t>
      </w:r>
    </w:p>
    <w:p>
      <w:pPr>
        <w:spacing w:line="276" w:lineRule="auto"/>
        <w:ind w:left="317" w:leftChars="151" w:firstLine="422" w:firstLineChars="200"/>
        <w:rPr>
          <w:rFonts w:ascii="宋体" w:hAnsi="宋体" w:cs="宋体"/>
          <w:b/>
          <w:u w:val="single"/>
        </w:rPr>
      </w:pPr>
      <w:r>
        <w:rPr>
          <w:rFonts w:hint="eastAsia" w:ascii="宋体" w:hAnsi="宋体" w:cs="宋体"/>
          <w:b/>
          <w:u w:val="single"/>
        </w:rPr>
        <w:t>(5）与其他工程发生交叉作业而增加的费用一律不得调整合同价款</w:t>
      </w:r>
      <w:r>
        <w:rPr>
          <w:rFonts w:hint="eastAsia" w:ascii="宋体" w:hAnsi="宋体" w:cs="宋体"/>
          <w:b/>
        </w:rPr>
        <w:t>。</w:t>
      </w:r>
    </w:p>
    <w:p>
      <w:pPr>
        <w:spacing w:line="276" w:lineRule="auto"/>
        <w:ind w:left="317" w:leftChars="151" w:firstLine="422" w:firstLineChars="200"/>
        <w:rPr>
          <w:rFonts w:ascii="宋体" w:hAnsi="宋体" w:cs="宋体"/>
          <w:b/>
        </w:rPr>
      </w:pPr>
      <w:r>
        <w:rPr>
          <w:rFonts w:hint="eastAsia" w:ascii="宋体" w:hAnsi="宋体" w:cs="宋体"/>
          <w:b/>
          <w:u w:val="single"/>
        </w:rPr>
        <w:t>(6）为保证工程质量采取的所有技术和组织措施所增加的费用，不论发包人是否同意均不得调整合同价款</w:t>
      </w:r>
      <w:r>
        <w:rPr>
          <w:rFonts w:hint="eastAsia" w:ascii="宋体" w:hAnsi="宋体" w:cs="宋体"/>
          <w:b/>
        </w:rPr>
        <w:t>。</w:t>
      </w:r>
    </w:p>
    <w:p>
      <w:pPr>
        <w:spacing w:line="276" w:lineRule="auto"/>
        <w:ind w:left="317" w:leftChars="151" w:firstLine="422" w:firstLineChars="200"/>
        <w:rPr>
          <w:rFonts w:ascii="宋体" w:hAnsi="宋体" w:cs="宋体"/>
          <w:b/>
          <w:u w:val="single"/>
        </w:rPr>
      </w:pPr>
      <w:r>
        <w:rPr>
          <w:rFonts w:hint="eastAsia" w:ascii="宋体" w:hAnsi="宋体" w:cs="宋体"/>
          <w:b/>
          <w:u w:val="single"/>
        </w:rPr>
        <w:t>(7）施工机械进出场、安装拆卸、移机等不论实际情况如何，均不得调整合同价。</w:t>
      </w:r>
    </w:p>
    <w:p>
      <w:pPr>
        <w:spacing w:line="276" w:lineRule="auto"/>
        <w:ind w:left="317" w:leftChars="151" w:firstLine="422" w:firstLineChars="200"/>
        <w:rPr>
          <w:rFonts w:ascii="宋体" w:hAnsi="宋体" w:cs="宋体"/>
          <w:b/>
          <w:u w:val="single"/>
        </w:rPr>
      </w:pPr>
      <w:r>
        <w:rPr>
          <w:rFonts w:hint="eastAsia" w:ascii="宋体" w:hAnsi="宋体" w:cs="宋体"/>
          <w:b/>
          <w:u w:val="single"/>
        </w:rPr>
        <w:t>(8）承包人确认后的工程量清单相对于招标图纸有缺项、漏项、错项等情况，均不得调整合同价款，且承包人须按图纸及发包人要求施工。</w:t>
      </w:r>
    </w:p>
    <w:p>
      <w:pPr>
        <w:spacing w:line="276" w:lineRule="auto"/>
        <w:ind w:firstLine="420" w:firstLineChars="200"/>
        <w:rPr>
          <w:rFonts w:ascii="宋体" w:hAnsi="宋体" w:cs="宋体"/>
          <w:u w:val="single"/>
        </w:rPr>
      </w:pPr>
      <w:r>
        <w:rPr>
          <w:rFonts w:hint="eastAsia" w:ascii="宋体" w:hAnsi="宋体" w:cs="宋体"/>
        </w:rPr>
        <w:t>风险费用的计算方法：</w:t>
      </w:r>
      <w:r>
        <w:rPr>
          <w:rFonts w:hint="eastAsia" w:ascii="宋体" w:hAnsi="宋体" w:cs="宋体"/>
          <w:b/>
          <w:u w:val="single"/>
        </w:rPr>
        <w:t>投标人在投标时结合自身及工程实际已自行考虑，不再另行计取</w:t>
      </w:r>
      <w:r>
        <w:rPr>
          <w:rFonts w:hint="eastAsia" w:ascii="宋体" w:hAnsi="宋体" w:cs="宋体"/>
          <w:b/>
        </w:rPr>
        <w:t>。</w:t>
      </w:r>
    </w:p>
    <w:p>
      <w:pPr>
        <w:spacing w:line="276" w:lineRule="auto"/>
        <w:ind w:left="317" w:leftChars="151" w:firstLine="420" w:firstLineChars="200"/>
        <w:rPr>
          <w:rFonts w:ascii="宋体" w:hAnsi="宋体" w:cs="宋体"/>
        </w:rPr>
      </w:pPr>
      <w:r>
        <w:rPr>
          <w:rFonts w:hint="eastAsia" w:ascii="宋体" w:hAnsi="宋体" w:cs="宋体"/>
        </w:rPr>
        <w:t>风险范围以外合同价格的调整方法：</w:t>
      </w:r>
    </w:p>
    <w:p>
      <w:pPr>
        <w:spacing w:line="276" w:lineRule="auto"/>
        <w:ind w:left="317" w:leftChars="151" w:firstLine="422" w:firstLineChars="200"/>
        <w:rPr>
          <w:rFonts w:ascii="宋体" w:hAnsi="宋体" w:cs="宋体"/>
          <w:b/>
          <w:u w:val="single"/>
        </w:rPr>
      </w:pPr>
      <w:r>
        <w:rPr>
          <w:rFonts w:hint="eastAsia" w:ascii="宋体" w:hAnsi="宋体" w:cs="宋体"/>
          <w:b/>
          <w:u w:val="single"/>
        </w:rPr>
        <w:t>（1）合同执行期间，综合单价不因工程量清单的工程数量有误或设计变更引起的工程量增减进行调整；措施费及规费为固定价，不因工程工期、工程量、工程难度以及不可预见的因素等任何因素的变化而调整。</w:t>
      </w:r>
    </w:p>
    <w:p>
      <w:pPr>
        <w:spacing w:line="276" w:lineRule="auto"/>
        <w:ind w:left="317" w:leftChars="151" w:firstLine="422" w:firstLineChars="200"/>
        <w:rPr>
          <w:rFonts w:ascii="宋体" w:hAnsi="宋体" w:cs="宋体"/>
          <w:b/>
          <w:u w:val="single"/>
        </w:rPr>
      </w:pPr>
      <w:r>
        <w:rPr>
          <w:rFonts w:hint="eastAsia" w:ascii="宋体" w:hAnsi="宋体" w:cs="宋体"/>
          <w:b/>
          <w:u w:val="single"/>
        </w:rPr>
        <w:t>(2）由于设计变更、业主签证增加引起的工程量增减，承包人投标报价中有相同或类似项目的，按照相同或类似项目计量；承包人投标报价中无相同或无类似项目的，由发包人（或委托有资质的中介单位）根据2018版《安徽省建设工程工程量清单计价办法》及其配套计价依据中的相关规，按新增工程量发生当月市场信息价等进行组价并按投标报价与最高限价的差额下浮比例调整确定结算综合单价，当月信息价缺项的按共同调研价执行，税金按实计算，其他费用均不再予以计取。在变更估价未定之前，承包人不得以此为理由延误施工，否则按违约处理。</w:t>
      </w:r>
    </w:p>
    <w:p>
      <w:pPr>
        <w:spacing w:line="276" w:lineRule="auto"/>
        <w:ind w:left="317" w:leftChars="151" w:firstLine="422" w:firstLineChars="200"/>
        <w:rPr>
          <w:rFonts w:ascii="宋体" w:hAnsi="宋体" w:cs="宋体"/>
          <w:b/>
        </w:rPr>
      </w:pPr>
      <w:r>
        <w:rPr>
          <w:rFonts w:hint="eastAsia" w:ascii="宋体" w:hAnsi="宋体" w:cs="宋体"/>
          <w:b/>
          <w:u w:val="single"/>
        </w:rPr>
        <w:t>(3）由于设计变更等引起工程量的增减幅度超过工程量清单中工程量10%以上部分，视作新的清单子目按上一款执行</w:t>
      </w:r>
      <w:r>
        <w:rPr>
          <w:rFonts w:hint="eastAsia" w:ascii="宋体" w:hAnsi="宋体" w:cs="宋体"/>
          <w:b/>
        </w:rPr>
        <w:t>。</w:t>
      </w:r>
    </w:p>
    <w:p>
      <w:pPr>
        <w:spacing w:line="276" w:lineRule="auto"/>
        <w:ind w:left="317" w:leftChars="151" w:firstLine="422" w:firstLineChars="200"/>
        <w:rPr>
          <w:rFonts w:ascii="宋体" w:hAnsi="宋体" w:cs="宋体"/>
          <w:b/>
        </w:rPr>
      </w:pPr>
      <w:r>
        <w:rPr>
          <w:rFonts w:hint="eastAsia" w:ascii="宋体" w:hAnsi="宋体" w:cs="宋体"/>
          <w:b/>
          <w:u w:val="single"/>
        </w:rPr>
        <w:t>（4）发包人有权对承包人未按图施工的工程价款进行核减，且承包人承担相应的违约责任</w:t>
      </w:r>
      <w:r>
        <w:rPr>
          <w:rFonts w:hint="eastAsia" w:ascii="宋体" w:hAnsi="宋体" w:cs="宋体"/>
          <w:b/>
        </w:rPr>
        <w:t>。</w:t>
      </w:r>
    </w:p>
    <w:p>
      <w:pPr>
        <w:spacing w:line="276" w:lineRule="auto"/>
        <w:ind w:left="317" w:leftChars="151" w:firstLine="422" w:firstLineChars="200"/>
        <w:rPr>
          <w:rFonts w:ascii="宋体" w:hAnsi="宋体" w:cs="宋体"/>
          <w:b/>
          <w:u w:val="single"/>
        </w:rPr>
      </w:pPr>
      <w:r>
        <w:rPr>
          <w:rFonts w:hint="eastAsia" w:ascii="宋体" w:hAnsi="宋体" w:cs="宋体"/>
          <w:b/>
          <w:u w:val="single"/>
        </w:rPr>
        <w:t>（5）因规划调整或政策性限制等因素，发包人可能取消或暂缓实施招标范围内的部分工程，承包人需无条件执行招标人的此类指令，同时也不得以“合同履行后可以获得的利益”为由要求赔偿损失，相应工程款按承包人投标报价等额从工程价款中扣除，且发包人不为此承担任何违约责任。</w:t>
      </w:r>
    </w:p>
    <w:p>
      <w:pPr>
        <w:spacing w:line="276" w:lineRule="auto"/>
        <w:ind w:firstLine="420" w:firstLineChars="200"/>
        <w:rPr>
          <w:rFonts w:ascii="宋体" w:hAnsi="宋体" w:cs="宋体"/>
          <w:b/>
        </w:rPr>
      </w:pPr>
      <w:r>
        <w:rPr>
          <w:rFonts w:hint="eastAsia" w:ascii="宋体" w:hAnsi="宋体" w:cs="宋体"/>
        </w:rPr>
        <w:t>3、其他价格方式：</w:t>
      </w:r>
      <w:r>
        <w:rPr>
          <w:rFonts w:hint="eastAsia" w:ascii="宋体" w:hAnsi="宋体" w:cs="宋体"/>
          <w:u w:val="single"/>
        </w:rPr>
        <w:t xml:space="preserve"> / </w:t>
      </w:r>
      <w:r>
        <w:rPr>
          <w:rFonts w:hint="eastAsia" w:ascii="宋体" w:hAnsi="宋体" w:cs="宋体"/>
        </w:rPr>
        <w:t xml:space="preserve">。                </w:t>
      </w:r>
    </w:p>
    <w:p>
      <w:pPr>
        <w:spacing w:after="120" w:line="276" w:lineRule="auto"/>
        <w:ind w:firstLine="420" w:firstLineChars="200"/>
        <w:rPr>
          <w:rFonts w:ascii="宋体" w:hAnsi="宋体" w:cs="宋体"/>
        </w:rPr>
      </w:pPr>
      <w:bookmarkStart w:id="303" w:name="_Toc303539161"/>
      <w:bookmarkStart w:id="304" w:name="_Toc304295581"/>
      <w:bookmarkStart w:id="305" w:name="_Toc300935004"/>
      <w:bookmarkStart w:id="306" w:name="_Toc312678042"/>
      <w:bookmarkStart w:id="307" w:name="_Toc297216213"/>
      <w:bookmarkStart w:id="308" w:name="_Toc297123554"/>
      <w:bookmarkStart w:id="309" w:name="_Toc297120507"/>
      <w:bookmarkStart w:id="310" w:name="_Toc292559917"/>
      <w:bookmarkStart w:id="311" w:name="_Toc297048393"/>
      <w:bookmarkStart w:id="312" w:name="_Toc296944546"/>
      <w:bookmarkStart w:id="313" w:name="_Toc296503207"/>
      <w:bookmarkStart w:id="314" w:name="_Toc296891247"/>
      <w:bookmarkStart w:id="315" w:name="_Toc296347206"/>
      <w:bookmarkStart w:id="316" w:name="_Toc296891035"/>
      <w:bookmarkStart w:id="317" w:name="_Toc296346708"/>
      <w:bookmarkStart w:id="318" w:name="_Toc292559412"/>
      <w:r>
        <w:rPr>
          <w:rFonts w:hint="eastAsia" w:ascii="宋体" w:hAnsi="宋体" w:cs="宋体"/>
        </w:rPr>
        <w:t>12.2 预付款</w:t>
      </w:r>
    </w:p>
    <w:bookmarkEnd w:id="303"/>
    <w:bookmarkEnd w:id="304"/>
    <w:bookmarkEnd w:id="305"/>
    <w:bookmarkEnd w:id="306"/>
    <w:bookmarkEnd w:id="307"/>
    <w:bookmarkEnd w:id="308"/>
    <w:p>
      <w:pPr>
        <w:spacing w:line="276" w:lineRule="auto"/>
        <w:ind w:firstLine="420" w:firstLineChars="200"/>
        <w:rPr>
          <w:rFonts w:ascii="宋体" w:hAnsi="宋体" w:cs="宋体"/>
        </w:rPr>
      </w:pPr>
      <w:r>
        <w:rPr>
          <w:rFonts w:hint="eastAsia" w:ascii="宋体" w:hAnsi="宋体" w:cs="宋体"/>
        </w:rPr>
        <w:t>12.2.1 预付款的支付</w:t>
      </w:r>
    </w:p>
    <w:p>
      <w:pPr>
        <w:spacing w:line="276" w:lineRule="auto"/>
        <w:ind w:firstLine="420" w:firstLineChars="200"/>
        <w:rPr>
          <w:rFonts w:ascii="宋体" w:hAnsi="宋体" w:cs="宋体"/>
        </w:rPr>
      </w:pPr>
      <w:r>
        <w:rPr>
          <w:rFonts w:hint="eastAsia" w:ascii="宋体" w:hAnsi="宋体" w:cs="宋体"/>
        </w:rPr>
        <w:t>预付款支付比例或金额：</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预付款支付期限：</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预付款扣回的方式：</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12.2.2 预付款担保</w:t>
      </w:r>
    </w:p>
    <w:p>
      <w:pPr>
        <w:spacing w:line="276" w:lineRule="auto"/>
        <w:ind w:firstLine="420" w:firstLineChars="200"/>
        <w:rPr>
          <w:rFonts w:ascii="宋体" w:hAnsi="宋体" w:cs="宋体"/>
        </w:rPr>
      </w:pPr>
      <w:r>
        <w:rPr>
          <w:rFonts w:hint="eastAsia" w:ascii="宋体" w:hAnsi="宋体" w:cs="宋体"/>
        </w:rPr>
        <w:t>承包人提交预付款担保的期限：</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预付款担保的形式为：</w:t>
      </w:r>
      <w:r>
        <w:rPr>
          <w:rFonts w:hint="eastAsia" w:ascii="宋体" w:hAnsi="宋体" w:cs="宋体"/>
          <w:u w:val="single"/>
        </w:rPr>
        <w:t xml:space="preserve">  / </w:t>
      </w:r>
      <w:r>
        <w:rPr>
          <w:rFonts w:hint="eastAsia" w:ascii="宋体" w:hAnsi="宋体" w:cs="宋体"/>
        </w:rPr>
        <w:t>。</w:t>
      </w:r>
    </w:p>
    <w:bookmarkEnd w:id="309"/>
    <w:bookmarkEnd w:id="310"/>
    <w:bookmarkEnd w:id="311"/>
    <w:bookmarkEnd w:id="312"/>
    <w:bookmarkEnd w:id="313"/>
    <w:bookmarkEnd w:id="314"/>
    <w:bookmarkEnd w:id="315"/>
    <w:bookmarkEnd w:id="316"/>
    <w:bookmarkEnd w:id="317"/>
    <w:bookmarkEnd w:id="318"/>
    <w:p>
      <w:pPr>
        <w:spacing w:after="120" w:line="276" w:lineRule="auto"/>
        <w:ind w:firstLine="420" w:firstLineChars="200"/>
        <w:rPr>
          <w:rFonts w:ascii="宋体" w:hAnsi="宋体" w:cs="宋体"/>
        </w:rPr>
      </w:pPr>
      <w:r>
        <w:rPr>
          <w:rFonts w:hint="eastAsia" w:ascii="宋体" w:hAnsi="宋体" w:cs="宋体"/>
        </w:rPr>
        <w:t>12.3 计量</w:t>
      </w:r>
    </w:p>
    <w:p>
      <w:pPr>
        <w:spacing w:line="276" w:lineRule="auto"/>
        <w:ind w:firstLine="420" w:firstLineChars="200"/>
        <w:rPr>
          <w:rFonts w:ascii="宋体" w:hAnsi="宋体" w:cs="宋体"/>
        </w:rPr>
      </w:pPr>
      <w:r>
        <w:rPr>
          <w:rFonts w:hint="eastAsia" w:ascii="宋体" w:hAnsi="宋体" w:cs="宋体"/>
        </w:rPr>
        <w:t>12.3.1 计量原则</w:t>
      </w:r>
    </w:p>
    <w:p>
      <w:pPr>
        <w:spacing w:line="276" w:lineRule="auto"/>
        <w:ind w:firstLine="420" w:firstLineChars="200"/>
        <w:rPr>
          <w:rFonts w:ascii="宋体" w:hAnsi="宋体" w:cs="宋体"/>
        </w:rPr>
      </w:pPr>
      <w:r>
        <w:rPr>
          <w:rFonts w:hint="eastAsia" w:ascii="宋体" w:hAnsi="宋体" w:cs="宋体"/>
        </w:rPr>
        <w:t>工程量计算规则：</w:t>
      </w:r>
      <w:r>
        <w:rPr>
          <w:rFonts w:hint="eastAsia" w:ascii="宋体" w:hAnsi="宋体" w:cs="宋体"/>
          <w:b/>
          <w:u w:val="single"/>
        </w:rPr>
        <w:t>按2018版《安徽省建设工程工程量清单计价办法》及其配套计价依据中相关计算规则执行）</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12.3.2 计量周期</w:t>
      </w:r>
    </w:p>
    <w:p>
      <w:pPr>
        <w:spacing w:line="276" w:lineRule="auto"/>
        <w:ind w:firstLine="420" w:firstLineChars="200"/>
        <w:rPr>
          <w:rFonts w:ascii="宋体" w:hAnsi="宋体" w:cs="宋体"/>
        </w:rPr>
      </w:pPr>
      <w:r>
        <w:rPr>
          <w:rFonts w:hint="eastAsia" w:ascii="宋体" w:hAnsi="宋体" w:cs="宋体"/>
        </w:rPr>
        <w:t>关于计量周期的约定：</w:t>
      </w:r>
      <w:r>
        <w:rPr>
          <w:rFonts w:hint="eastAsia" w:ascii="宋体" w:hAnsi="宋体" w:cs="宋体"/>
          <w:u w:val="single"/>
        </w:rPr>
        <w:t xml:space="preserve"> 按月计量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12.3.3 单价合同的计量</w:t>
      </w:r>
    </w:p>
    <w:p>
      <w:pPr>
        <w:spacing w:line="276" w:lineRule="auto"/>
        <w:ind w:firstLine="420" w:firstLineChars="200"/>
        <w:rPr>
          <w:rFonts w:ascii="宋体" w:hAnsi="宋体" w:cs="宋体"/>
        </w:rPr>
      </w:pPr>
      <w:r>
        <w:rPr>
          <w:rFonts w:hint="eastAsia" w:ascii="宋体" w:hAnsi="宋体" w:cs="宋体"/>
        </w:rPr>
        <w:t>关于单价合同计量的约定：</w:t>
      </w:r>
      <w:r>
        <w:rPr>
          <w:rFonts w:hint="eastAsia" w:ascii="宋体" w:hAnsi="宋体" w:cs="宋体"/>
          <w:u w:val="single"/>
        </w:rPr>
        <w:t xml:space="preserve"> /  </w:t>
      </w:r>
    </w:p>
    <w:p>
      <w:pPr>
        <w:spacing w:line="276" w:lineRule="auto"/>
        <w:ind w:firstLine="420" w:firstLineChars="200"/>
        <w:rPr>
          <w:rFonts w:ascii="宋体" w:hAnsi="宋体" w:cs="宋体"/>
        </w:rPr>
      </w:pPr>
      <w:r>
        <w:rPr>
          <w:rFonts w:hint="eastAsia" w:ascii="宋体" w:hAnsi="宋体" w:cs="宋体"/>
        </w:rPr>
        <w:t>12.3.4 总价合同的计量</w:t>
      </w:r>
    </w:p>
    <w:p>
      <w:pPr>
        <w:spacing w:line="276" w:lineRule="auto"/>
        <w:ind w:firstLine="420" w:firstLineChars="200"/>
        <w:rPr>
          <w:rFonts w:ascii="宋体" w:hAnsi="宋体" w:cs="宋体"/>
        </w:rPr>
      </w:pPr>
      <w:r>
        <w:rPr>
          <w:rFonts w:hint="eastAsia" w:ascii="宋体" w:hAnsi="宋体" w:cs="宋体"/>
        </w:rPr>
        <w:t>关于总价合同计量的约定：</w:t>
      </w:r>
      <w:r>
        <w:rPr>
          <w:rFonts w:hint="eastAsia" w:ascii="宋体" w:hAnsi="宋体" w:cs="宋体"/>
          <w:u w:val="single"/>
        </w:rPr>
        <w:t>承包人每月25日前向发包人提交上月20日至当月19日已完工程量（具有形象进度的分部分项工程且质量合格）统计报表肆份（审核后：承包人、发包人各留1份）。发包人在收到手续齐全的工程量申请报表10日内予以确认，不合格的工程量不予计入进度款支付</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12.3.5总价合同采用支付分解表计量支付的，是否适用第12.3.4 项〔总价合同的计量〕约定进行计量：</w:t>
      </w:r>
      <w:r>
        <w:rPr>
          <w:rFonts w:hint="eastAsia" w:ascii="宋体" w:hAnsi="宋体" w:cs="宋体"/>
          <w:u w:val="single"/>
        </w:rPr>
        <w:t xml:space="preserve">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12.3.6 其他价格形式合同的计量</w:t>
      </w:r>
    </w:p>
    <w:p>
      <w:pPr>
        <w:spacing w:line="276" w:lineRule="auto"/>
        <w:rPr>
          <w:rFonts w:ascii="宋体" w:hAnsi="宋体" w:cs="宋体"/>
        </w:rPr>
      </w:pPr>
      <w:r>
        <w:rPr>
          <w:rFonts w:hint="eastAsia" w:ascii="宋体" w:hAnsi="宋体" w:cs="宋体"/>
        </w:rPr>
        <w:t>其他价格形式的计量方式和程序：</w:t>
      </w:r>
      <w:r>
        <w:rPr>
          <w:rFonts w:hint="eastAsia" w:ascii="宋体" w:hAnsi="宋体" w:cs="宋体"/>
          <w:u w:val="single"/>
        </w:rPr>
        <w:t xml:space="preserve">/ </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12.4 工程进度款支付</w:t>
      </w:r>
    </w:p>
    <w:p>
      <w:pPr>
        <w:spacing w:line="276" w:lineRule="auto"/>
        <w:ind w:firstLine="420" w:firstLineChars="200"/>
        <w:rPr>
          <w:rFonts w:ascii="宋体" w:hAnsi="宋体" w:cs="宋体"/>
        </w:rPr>
      </w:pPr>
      <w:r>
        <w:rPr>
          <w:rFonts w:hint="eastAsia" w:ascii="宋体" w:hAnsi="宋体" w:cs="宋体"/>
        </w:rPr>
        <w:t>12.4.1 付款周期</w:t>
      </w:r>
    </w:p>
    <w:p>
      <w:pPr>
        <w:adjustRightInd w:val="0"/>
        <w:snapToGrid w:val="0"/>
        <w:spacing w:beforeLines="20" w:afterLines="20" w:line="276" w:lineRule="auto"/>
        <w:ind w:left="-2" w:firstLine="502"/>
        <w:rPr>
          <w:rFonts w:ascii="宋体" w:hAnsi="宋体" w:cs="宋体"/>
        </w:rPr>
      </w:pPr>
      <w:r>
        <w:rPr>
          <w:rFonts w:hint="eastAsia" w:ascii="宋体" w:hAnsi="宋体" w:cs="宋体"/>
        </w:rPr>
        <w:t>关于付款周期的约定：</w:t>
      </w:r>
    </w:p>
    <w:p>
      <w:pPr>
        <w:spacing w:line="276" w:lineRule="auto"/>
        <w:ind w:firstLine="480"/>
        <w:rPr>
          <w:rFonts w:ascii="宋体" w:hAnsi="宋体" w:cs="宋体"/>
          <w:b/>
          <w:color w:val="FF0000"/>
          <w:u w:val="single"/>
        </w:rPr>
      </w:pPr>
      <w:r>
        <w:rPr>
          <w:rFonts w:hint="eastAsia" w:ascii="宋体" w:hAnsi="宋体" w:cs="宋体"/>
        </w:rPr>
        <w:t>付款方式</w:t>
      </w:r>
      <w:r>
        <w:rPr>
          <w:rFonts w:hint="eastAsia" w:ascii="宋体" w:hAnsi="宋体" w:cs="宋体"/>
          <w:b/>
          <w:u w:val="single"/>
        </w:rPr>
        <w:t>：</w:t>
      </w:r>
      <w:r>
        <w:rPr>
          <w:rFonts w:hint="eastAsia" w:ascii="宋体" w:hAnsi="宋体" w:cs="宋体"/>
          <w:b/>
          <w:color w:val="FF0000"/>
          <w:u w:val="single"/>
        </w:rPr>
        <w:t>不支付预付款。工程按月完成工程量支付中标合同价格的60%，竣工验收合格并取得验收证书或文件后付至中标合同价的80%，结算审计后付至审计价的95%，剩余的5%为质保金，质量责任缺陷期满后（工程无任何问题）无息支付。工程款税金按招标人指定在工程项目所在地税务部门统一缴纳。在工程竣工验收备案时，建设单位应提交支付工程款达到规定额度的有关凭证，达不到规定额度的，建筑业管理部门不予办理竣工验收备案。</w:t>
      </w:r>
    </w:p>
    <w:p>
      <w:pPr>
        <w:spacing w:line="276" w:lineRule="auto"/>
        <w:ind w:firstLine="480"/>
        <w:rPr>
          <w:rFonts w:ascii="宋体" w:hAnsi="宋体" w:cs="宋体"/>
          <w:b/>
          <w:color w:val="FF0000"/>
          <w:u w:val="single"/>
        </w:rPr>
      </w:pPr>
      <w:r>
        <w:rPr>
          <w:rFonts w:hint="eastAsia" w:ascii="宋体" w:hAnsi="宋体" w:cs="宋体"/>
          <w:b/>
          <w:color w:val="FF0000"/>
          <w:u w:val="single"/>
        </w:rPr>
        <w:t>进度款支付时不包含工程设计变更和工程量的增加部分，此部分工程款待工程结算审核结束后予以支付。</w:t>
      </w:r>
    </w:p>
    <w:p>
      <w:pPr>
        <w:spacing w:line="276" w:lineRule="auto"/>
        <w:ind w:firstLine="420" w:firstLineChars="200"/>
        <w:rPr>
          <w:rFonts w:ascii="宋体" w:hAnsi="宋体" w:cs="宋体"/>
        </w:rPr>
      </w:pPr>
      <w:r>
        <w:rPr>
          <w:rFonts w:hint="eastAsia" w:ascii="宋体" w:hAnsi="宋体" w:cs="宋体"/>
        </w:rPr>
        <w:t>12.4.2 进度付款申请单的编制</w:t>
      </w:r>
    </w:p>
    <w:p>
      <w:pPr>
        <w:spacing w:line="276" w:lineRule="auto"/>
        <w:rPr>
          <w:rFonts w:ascii="宋体" w:hAnsi="宋体" w:cs="宋体"/>
        </w:rPr>
      </w:pPr>
      <w:r>
        <w:rPr>
          <w:rFonts w:hint="eastAsia" w:ascii="宋体" w:hAnsi="宋体" w:cs="宋体"/>
        </w:rPr>
        <w:t>关于进度付款申请单编制的约定：</w:t>
      </w:r>
      <w:r>
        <w:rPr>
          <w:rFonts w:hint="eastAsia" w:ascii="宋体" w:hAnsi="宋体" w:cs="宋体"/>
          <w:b/>
          <w:u w:val="single"/>
        </w:rPr>
        <w:t>按工程实际合同进度编制</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12.4.3 进度付款申请单的提交</w:t>
      </w:r>
    </w:p>
    <w:p>
      <w:pPr>
        <w:spacing w:line="276" w:lineRule="auto"/>
        <w:ind w:firstLine="420" w:firstLineChars="200"/>
        <w:rPr>
          <w:rFonts w:ascii="宋体" w:hAnsi="宋体" w:cs="宋体"/>
          <w:b/>
        </w:rPr>
      </w:pPr>
      <w:r>
        <w:rPr>
          <w:rFonts w:hint="eastAsia" w:ascii="宋体" w:hAnsi="宋体" w:cs="宋体"/>
        </w:rPr>
        <w:t>（1）单价合同进度付款申请单提交的约定：</w:t>
      </w:r>
      <w:r>
        <w:rPr>
          <w:rFonts w:hint="eastAsia" w:ascii="宋体" w:hAnsi="宋体" w:cs="宋体"/>
          <w:b/>
          <w:u w:val="single"/>
        </w:rPr>
        <w:t xml:space="preserve"> / </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（2）总价合同进度付款申请单提交的约定：</w:t>
      </w:r>
      <w:r>
        <w:rPr>
          <w:rFonts w:hint="eastAsia" w:ascii="宋体" w:hAnsi="宋体" w:cs="宋体"/>
          <w:b/>
          <w:u w:val="single"/>
        </w:rPr>
        <w:t>满足支付条件，提交给发包人审核</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（3）其他价格形式合同进度付款申请单提交的约定：</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12.4.4 进度款审核和支付</w:t>
      </w:r>
    </w:p>
    <w:p>
      <w:pPr>
        <w:spacing w:line="276" w:lineRule="auto"/>
        <w:ind w:firstLine="420" w:firstLineChars="200"/>
        <w:rPr>
          <w:rFonts w:ascii="宋体" w:hAnsi="宋体" w:cs="宋体"/>
          <w:u w:val="single"/>
        </w:rPr>
      </w:pPr>
      <w:r>
        <w:rPr>
          <w:rFonts w:hint="eastAsia" w:ascii="宋体" w:hAnsi="宋体" w:cs="宋体"/>
        </w:rPr>
        <w:t>（1）监理人审查并报送发包人的期限：</w:t>
      </w:r>
      <w:r>
        <w:rPr>
          <w:rFonts w:hint="eastAsia" w:ascii="宋体" w:hAnsi="宋体" w:cs="宋体"/>
          <w:u w:val="single"/>
        </w:rPr>
        <w:t xml:space="preserve">  /</w:t>
      </w:r>
      <w:r>
        <w:rPr>
          <w:rFonts w:hint="eastAsia" w:ascii="宋体" w:hAnsi="宋体" w:cs="宋体"/>
          <w:b/>
          <w:u w:val="single"/>
        </w:rPr>
        <w:t xml:space="preserve">  </w:t>
      </w:r>
      <w:r>
        <w:rPr>
          <w:rFonts w:hint="eastAsia" w:ascii="宋体" w:hAnsi="宋体" w:cs="宋体"/>
        </w:rPr>
        <w:t>。</w:t>
      </w:r>
    </w:p>
    <w:p>
      <w:pPr>
        <w:spacing w:line="276" w:lineRule="auto"/>
        <w:ind w:firstLine="840" w:firstLineChars="400"/>
        <w:rPr>
          <w:rFonts w:ascii="宋体" w:hAnsi="宋体" w:cs="宋体"/>
        </w:rPr>
      </w:pPr>
      <w:r>
        <w:rPr>
          <w:rFonts w:hint="eastAsia" w:ascii="宋体" w:hAnsi="宋体" w:cs="宋体"/>
        </w:rPr>
        <w:t>发包人完成审批并签发进度款支付证书的期限：</w:t>
      </w:r>
      <w:r>
        <w:rPr>
          <w:rFonts w:hint="eastAsia" w:ascii="宋体" w:hAnsi="宋体" w:cs="宋体"/>
          <w:b/>
          <w:u w:val="single"/>
        </w:rPr>
        <w:t>工程量核实后</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（2）发包人支付进度款的期限：</w:t>
      </w:r>
      <w:r>
        <w:rPr>
          <w:rFonts w:hint="eastAsia" w:ascii="宋体" w:hAnsi="宋体" w:cs="宋体"/>
          <w:u w:val="single"/>
        </w:rPr>
        <w:t xml:space="preserve"> </w:t>
      </w:r>
      <w:r>
        <w:rPr>
          <w:rFonts w:hint="eastAsia" w:ascii="宋体" w:hAnsi="宋体" w:cs="宋体"/>
          <w:b/>
          <w:u w:val="single"/>
        </w:rPr>
        <w:t xml:space="preserve"> 工程进度款核实后 </w:t>
      </w:r>
      <w:r>
        <w:rPr>
          <w:rFonts w:hint="eastAsia" w:ascii="宋体" w:hAnsi="宋体" w:cs="宋体"/>
        </w:rPr>
        <w:t>。</w:t>
      </w:r>
    </w:p>
    <w:p>
      <w:pPr>
        <w:spacing w:line="276" w:lineRule="auto"/>
        <w:ind w:firstLine="630" w:firstLineChars="300"/>
        <w:rPr>
          <w:rFonts w:ascii="宋体" w:hAnsi="宋体" w:cs="宋体"/>
        </w:rPr>
      </w:pPr>
      <w:r>
        <w:rPr>
          <w:rFonts w:hint="eastAsia" w:ascii="宋体" w:hAnsi="宋体" w:cs="宋体"/>
        </w:rPr>
        <w:t>发包人逾期支付进度款的违约金的计算方式：</w:t>
      </w:r>
      <w:r>
        <w:rPr>
          <w:rFonts w:hint="eastAsia" w:ascii="宋体" w:hAnsi="宋体" w:cs="宋体"/>
          <w:u w:val="single"/>
        </w:rPr>
        <w:t xml:space="preserve">  / </w:t>
      </w:r>
      <w:r>
        <w:rPr>
          <w:rFonts w:hint="eastAsia" w:ascii="宋体" w:hAnsi="宋体" w:cs="宋体"/>
        </w:rPr>
        <w:t xml:space="preserve">。 </w:t>
      </w:r>
    </w:p>
    <w:p>
      <w:pPr>
        <w:spacing w:line="276" w:lineRule="auto"/>
        <w:ind w:firstLine="525" w:firstLineChars="250"/>
        <w:rPr>
          <w:rFonts w:ascii="宋体" w:hAnsi="宋体" w:cs="宋体"/>
        </w:rPr>
      </w:pPr>
      <w:r>
        <w:rPr>
          <w:rFonts w:hint="eastAsia" w:ascii="宋体" w:hAnsi="宋体" w:cs="宋体"/>
        </w:rPr>
        <w:t>12.4.6 支付分解表的编制</w:t>
      </w:r>
    </w:p>
    <w:p>
      <w:pPr>
        <w:spacing w:line="276" w:lineRule="auto"/>
        <w:ind w:firstLine="420" w:firstLineChars="200"/>
        <w:rPr>
          <w:rFonts w:ascii="宋体" w:hAnsi="宋体" w:cs="宋体"/>
          <w:u w:val="single"/>
        </w:rPr>
      </w:pPr>
      <w:r>
        <w:rPr>
          <w:rFonts w:hint="eastAsia" w:ascii="宋体" w:hAnsi="宋体" w:cs="宋体"/>
        </w:rPr>
        <w:t>2、总价合同支付分解表的编制与审批：</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u w:val="single"/>
        </w:rPr>
      </w:pPr>
      <w:r>
        <w:rPr>
          <w:rFonts w:hint="eastAsia" w:ascii="宋体" w:hAnsi="宋体" w:cs="宋体"/>
        </w:rPr>
        <w:t>3、单价合同的总价项目支付分解表的编制与审批：</w:t>
      </w:r>
      <w:r>
        <w:rPr>
          <w:rFonts w:hint="eastAsia" w:ascii="宋体" w:hAnsi="宋体" w:cs="宋体"/>
          <w:u w:val="single"/>
        </w:rPr>
        <w:t xml:space="preserve">   / </w:t>
      </w:r>
      <w:r>
        <w:rPr>
          <w:rFonts w:hint="eastAsia" w:ascii="宋体" w:hAnsi="宋体" w:cs="宋体"/>
        </w:rPr>
        <w:t xml:space="preserve"> 。  </w:t>
      </w:r>
    </w:p>
    <w:p>
      <w:pPr>
        <w:pStyle w:val="5"/>
        <w:spacing w:line="276" w:lineRule="auto"/>
        <w:rPr>
          <w:rFonts w:ascii="宋体" w:hAnsi="宋体" w:cs="宋体"/>
          <w:b w:val="0"/>
          <w:sz w:val="24"/>
          <w:szCs w:val="24"/>
        </w:rPr>
      </w:pPr>
      <w:bookmarkStart w:id="319" w:name="_Toc351203645"/>
      <w:bookmarkStart w:id="320" w:name="_Toc300935015"/>
      <w:bookmarkStart w:id="321" w:name="_Toc292559424"/>
      <w:bookmarkStart w:id="322" w:name="_Toc297216223"/>
      <w:bookmarkStart w:id="323" w:name="_Toc297123564"/>
      <w:bookmarkStart w:id="324" w:name="_Toc297048405"/>
      <w:bookmarkStart w:id="325" w:name="_Toc296891259"/>
      <w:bookmarkStart w:id="326" w:name="_Toc296347218"/>
      <w:bookmarkStart w:id="327" w:name="_Toc296346720"/>
      <w:bookmarkStart w:id="328" w:name="_Toc312678053"/>
      <w:bookmarkStart w:id="329" w:name="_Toc296503219"/>
      <w:bookmarkStart w:id="330" w:name="_Toc292559929"/>
      <w:bookmarkStart w:id="331" w:name="_Toc297120519"/>
      <w:bookmarkStart w:id="332" w:name="_Toc296891047"/>
      <w:bookmarkStart w:id="333" w:name="_Toc304295593"/>
      <w:bookmarkStart w:id="334" w:name="_Toc303539172"/>
      <w:bookmarkStart w:id="335" w:name="_Toc296944558"/>
      <w:r>
        <w:rPr>
          <w:rFonts w:hint="eastAsia" w:ascii="宋体" w:hAnsi="宋体" w:cs="宋体"/>
          <w:b w:val="0"/>
          <w:sz w:val="24"/>
          <w:szCs w:val="24"/>
        </w:rPr>
        <w:t>13. 验收和工程试车</w:t>
      </w:r>
      <w:bookmarkEnd w:id="319"/>
    </w:p>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Pr>
        <w:spacing w:after="120" w:line="276" w:lineRule="auto"/>
        <w:ind w:firstLine="420" w:firstLineChars="200"/>
        <w:rPr>
          <w:rFonts w:ascii="宋体" w:hAnsi="宋体" w:cs="宋体"/>
        </w:rPr>
      </w:pPr>
      <w:r>
        <w:rPr>
          <w:rFonts w:hint="eastAsia" w:ascii="宋体" w:hAnsi="宋体" w:cs="宋体"/>
        </w:rPr>
        <w:t>13.1 分部分项工程验收</w:t>
      </w:r>
    </w:p>
    <w:p>
      <w:pPr>
        <w:spacing w:line="276" w:lineRule="auto"/>
        <w:ind w:firstLine="420" w:firstLineChars="200"/>
        <w:rPr>
          <w:rFonts w:ascii="宋体" w:hAnsi="宋体" w:cs="宋体"/>
        </w:rPr>
      </w:pPr>
      <w:r>
        <w:rPr>
          <w:rFonts w:hint="eastAsia" w:ascii="宋体" w:hAnsi="宋体" w:cs="宋体"/>
        </w:rPr>
        <w:t>13.1.2监理人不能按时进行验收时，应提前</w:t>
      </w:r>
      <w:r>
        <w:rPr>
          <w:rFonts w:hint="eastAsia" w:ascii="宋体" w:hAnsi="宋体" w:cs="宋体"/>
          <w:u w:val="single"/>
        </w:rPr>
        <w:t xml:space="preserve"> </w:t>
      </w:r>
      <w:r>
        <w:rPr>
          <w:rFonts w:hint="eastAsia" w:ascii="宋体" w:hAnsi="宋体" w:cs="宋体"/>
          <w:b/>
          <w:u w:val="single"/>
        </w:rPr>
        <w:t xml:space="preserve"> /   </w:t>
      </w:r>
      <w:r>
        <w:rPr>
          <w:rFonts w:hint="eastAsia" w:ascii="宋体" w:hAnsi="宋体" w:cs="宋体"/>
        </w:rPr>
        <w:t>小时提交书面延期要求。</w:t>
      </w:r>
    </w:p>
    <w:p>
      <w:pPr>
        <w:spacing w:line="276" w:lineRule="auto"/>
        <w:ind w:firstLine="420" w:firstLineChars="200"/>
        <w:rPr>
          <w:rFonts w:ascii="宋体" w:hAnsi="宋体" w:cs="宋体"/>
          <w:b/>
        </w:rPr>
      </w:pPr>
      <w:r>
        <w:rPr>
          <w:rFonts w:hint="eastAsia" w:ascii="宋体" w:hAnsi="宋体" w:cs="宋体"/>
        </w:rPr>
        <w:t>关于延期最长不得超过：</w:t>
      </w:r>
      <w:r>
        <w:rPr>
          <w:rFonts w:hint="eastAsia" w:ascii="宋体" w:hAnsi="宋体" w:cs="宋体"/>
          <w:u w:val="single"/>
        </w:rPr>
        <w:t xml:space="preserve"> </w:t>
      </w:r>
      <w:r>
        <w:rPr>
          <w:rFonts w:hint="eastAsia" w:ascii="宋体" w:hAnsi="宋体" w:cs="宋体"/>
          <w:b/>
          <w:u w:val="single"/>
        </w:rPr>
        <w:t xml:space="preserve">  / </w:t>
      </w:r>
      <w:r>
        <w:rPr>
          <w:rFonts w:hint="eastAsia" w:ascii="宋体" w:hAnsi="宋体" w:cs="宋体"/>
          <w:u w:val="single"/>
        </w:rPr>
        <w:t xml:space="preserve"> </w:t>
      </w:r>
      <w:r>
        <w:rPr>
          <w:rFonts w:hint="eastAsia" w:ascii="宋体" w:hAnsi="宋体" w:cs="宋体"/>
        </w:rPr>
        <w:t>小时。</w:t>
      </w:r>
    </w:p>
    <w:p>
      <w:pPr>
        <w:spacing w:after="120" w:line="276" w:lineRule="auto"/>
        <w:ind w:firstLine="420" w:firstLineChars="200"/>
        <w:rPr>
          <w:rFonts w:ascii="宋体" w:hAnsi="宋体" w:cs="宋体"/>
        </w:rPr>
      </w:pPr>
      <w:bookmarkStart w:id="336" w:name="_Toc297123565"/>
      <w:bookmarkStart w:id="337" w:name="_Toc297216224"/>
      <w:bookmarkStart w:id="338" w:name="_Toc296891051"/>
      <w:bookmarkStart w:id="339" w:name="_Toc292559428"/>
      <w:bookmarkStart w:id="340" w:name="_Toc296503223"/>
      <w:bookmarkStart w:id="341" w:name="_Toc297120523"/>
      <w:bookmarkStart w:id="342" w:name="_Toc296891263"/>
      <w:bookmarkStart w:id="343" w:name="_Toc300935016"/>
      <w:bookmarkStart w:id="344" w:name="_Toc312678056"/>
      <w:bookmarkStart w:id="345" w:name="_Toc292559933"/>
      <w:bookmarkStart w:id="346" w:name="_Toc296347222"/>
      <w:bookmarkStart w:id="347" w:name="_Toc304295596"/>
      <w:bookmarkStart w:id="348" w:name="_Toc297048409"/>
      <w:bookmarkStart w:id="349" w:name="_Toc296944562"/>
      <w:bookmarkStart w:id="350" w:name="_Toc303539173"/>
      <w:bookmarkStart w:id="351" w:name="_Toc296346724"/>
      <w:r>
        <w:rPr>
          <w:rFonts w:hint="eastAsia" w:ascii="宋体" w:hAnsi="宋体" w:cs="宋体"/>
        </w:rPr>
        <w:t>13.2 竣工验收</w:t>
      </w:r>
    </w:p>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Pr>
        <w:spacing w:line="276" w:lineRule="auto"/>
        <w:ind w:firstLine="420" w:firstLineChars="200"/>
        <w:rPr>
          <w:rFonts w:ascii="宋体" w:hAnsi="宋体" w:cs="宋体"/>
        </w:rPr>
      </w:pPr>
      <w:bookmarkStart w:id="352" w:name="_Toc280868704"/>
      <w:bookmarkStart w:id="353" w:name="_Toc280868705"/>
      <w:bookmarkStart w:id="354" w:name="_Toc280868706"/>
      <w:bookmarkStart w:id="355" w:name="_Toc280868707"/>
      <w:bookmarkStart w:id="356" w:name="_Toc280868708"/>
      <w:r>
        <w:rPr>
          <w:rFonts w:hint="eastAsia" w:ascii="宋体" w:hAnsi="宋体" w:cs="宋体"/>
        </w:rPr>
        <w:t>13.2.2竣工验收程序</w:t>
      </w:r>
    </w:p>
    <w:bookmarkEnd w:id="352"/>
    <w:p>
      <w:pPr>
        <w:spacing w:line="276" w:lineRule="auto"/>
        <w:ind w:firstLine="420" w:firstLineChars="200"/>
        <w:rPr>
          <w:rFonts w:ascii="宋体" w:hAnsi="宋体" w:cs="宋体"/>
          <w:u w:val="single"/>
        </w:rPr>
      </w:pPr>
      <w:r>
        <w:rPr>
          <w:rFonts w:hint="eastAsia" w:ascii="宋体" w:hAnsi="宋体" w:cs="宋体"/>
        </w:rPr>
        <w:t>关于竣工验收程序的约定：</w:t>
      </w:r>
      <w:r>
        <w:rPr>
          <w:rFonts w:hint="eastAsia" w:ascii="宋体" w:hAnsi="宋体" w:cs="宋体"/>
          <w:b/>
          <w:u w:val="single"/>
        </w:rPr>
        <w:t>按通用条款执行</w:t>
      </w:r>
      <w:r>
        <w:rPr>
          <w:rFonts w:hint="eastAsia" w:ascii="宋体" w:hAnsi="宋体" w:cs="宋体"/>
        </w:rPr>
        <w:t>。</w:t>
      </w:r>
    </w:p>
    <w:p>
      <w:pPr>
        <w:spacing w:line="276" w:lineRule="auto"/>
        <w:ind w:left="359" w:leftChars="171"/>
        <w:rPr>
          <w:rFonts w:ascii="宋体" w:hAnsi="宋体" w:cs="宋体"/>
          <w:b/>
        </w:rPr>
      </w:pPr>
      <w:r>
        <w:rPr>
          <w:rFonts w:hint="eastAsia" w:ascii="宋体" w:hAnsi="宋体" w:cs="宋体"/>
        </w:rPr>
        <w:t>发包人不按照本项约定组织竣工验收、颁发工程接收证书的违约金的计算方法：</w:t>
      </w:r>
      <w:r>
        <w:rPr>
          <w:rFonts w:hint="eastAsia" w:ascii="宋体" w:hAnsi="宋体" w:cs="宋体"/>
          <w:b/>
          <w:u w:val="single"/>
        </w:rPr>
        <w:t>按通用条款执行</w:t>
      </w:r>
      <w:r>
        <w:rPr>
          <w:rFonts w:hint="eastAsia" w:ascii="宋体" w:hAnsi="宋体" w:cs="宋体"/>
          <w:b/>
        </w:rPr>
        <w:t>。</w:t>
      </w:r>
    </w:p>
    <w:bookmarkEnd w:id="353"/>
    <w:p>
      <w:pPr>
        <w:spacing w:line="276" w:lineRule="auto"/>
        <w:ind w:firstLine="420" w:firstLineChars="200"/>
        <w:rPr>
          <w:rFonts w:ascii="宋体" w:hAnsi="宋体" w:cs="宋体"/>
        </w:rPr>
      </w:pPr>
      <w:r>
        <w:rPr>
          <w:rFonts w:hint="eastAsia" w:ascii="宋体" w:hAnsi="宋体" w:cs="宋体"/>
        </w:rPr>
        <w:t>13.2.5移交、接收全部与部分工程</w:t>
      </w:r>
    </w:p>
    <w:bookmarkEnd w:id="354"/>
    <w:p>
      <w:pPr>
        <w:spacing w:line="276" w:lineRule="auto"/>
        <w:ind w:firstLine="420" w:firstLineChars="200"/>
        <w:rPr>
          <w:rFonts w:ascii="宋体" w:hAnsi="宋体" w:cs="宋体"/>
        </w:rPr>
      </w:pPr>
      <w:r>
        <w:rPr>
          <w:rFonts w:hint="eastAsia" w:ascii="宋体" w:hAnsi="宋体" w:cs="宋体"/>
        </w:rPr>
        <w:t>承包人向发包人移交工程的期限：</w:t>
      </w:r>
      <w:r>
        <w:rPr>
          <w:rFonts w:hint="eastAsia" w:ascii="宋体" w:hAnsi="宋体" w:cs="宋体"/>
          <w:u w:val="single"/>
        </w:rPr>
        <w:t xml:space="preserve">  </w:t>
      </w:r>
      <w:r>
        <w:rPr>
          <w:rFonts w:hint="eastAsia" w:ascii="宋体" w:hAnsi="宋体" w:cs="宋体"/>
          <w:b/>
          <w:u w:val="single"/>
        </w:rPr>
        <w:t xml:space="preserve">颁发工程接收证书后3天内 </w:t>
      </w:r>
      <w:r>
        <w:rPr>
          <w:rFonts w:hint="eastAsia" w:ascii="宋体" w:hAnsi="宋体" w:cs="宋体"/>
        </w:rPr>
        <w:t>。</w:t>
      </w:r>
    </w:p>
    <w:p>
      <w:pPr>
        <w:spacing w:line="276" w:lineRule="auto"/>
        <w:ind w:firstLine="420" w:firstLineChars="200"/>
        <w:rPr>
          <w:rFonts w:ascii="宋体" w:hAnsi="宋体" w:cs="宋体"/>
          <w:u w:val="single"/>
        </w:rPr>
      </w:pPr>
      <w:r>
        <w:rPr>
          <w:rFonts w:hint="eastAsia" w:ascii="宋体" w:hAnsi="宋体" w:cs="宋体"/>
        </w:rPr>
        <w:t>发包人未按本合同约定接收全部或部分工程的，违约金的计算方法为：</w:t>
      </w:r>
      <w:r>
        <w:rPr>
          <w:rFonts w:hint="eastAsia" w:ascii="宋体" w:hAnsi="宋体" w:cs="宋体"/>
          <w:u w:val="single"/>
        </w:rPr>
        <w:t xml:space="preserve"> / </w:t>
      </w:r>
      <w:r>
        <w:rPr>
          <w:rFonts w:hint="eastAsia" w:ascii="宋体" w:hAnsi="宋体" w:cs="宋体"/>
        </w:rPr>
        <w:t>。</w:t>
      </w:r>
    </w:p>
    <w:bookmarkEnd w:id="355"/>
    <w:p>
      <w:pPr>
        <w:spacing w:line="276" w:lineRule="auto"/>
        <w:ind w:firstLine="420" w:firstLineChars="200"/>
        <w:rPr>
          <w:rFonts w:ascii="宋体" w:hAnsi="宋体" w:cs="宋体"/>
          <w:u w:val="single"/>
        </w:rPr>
      </w:pPr>
      <w:r>
        <w:rPr>
          <w:rFonts w:hint="eastAsia" w:ascii="宋体" w:hAnsi="宋体" w:cs="宋体"/>
        </w:rPr>
        <w:t>承包人未按时移交工程的，违约金的计算方法为：</w:t>
      </w:r>
      <w:r>
        <w:rPr>
          <w:rFonts w:hint="eastAsia" w:ascii="宋体" w:hAnsi="宋体" w:cs="宋体"/>
          <w:b/>
          <w:u w:val="single"/>
        </w:rPr>
        <w:t xml:space="preserve">承包人违约延期移交工程或撤出场地的，应承担因此带来的发包人的全部损失，并按每逾期一日，合同总价千分之一的标准向发包人支付违约金。延期15日以上的，每日按合同总价款千分之二向发包人支付违约金。 </w:t>
      </w:r>
      <w:r>
        <w:rPr>
          <w:rFonts w:hint="eastAsia" w:ascii="宋体" w:hAnsi="宋体" w:cs="宋体"/>
          <w:u w:val="single"/>
        </w:rPr>
        <w:t xml:space="preserve">  </w:t>
      </w:r>
    </w:p>
    <w:p>
      <w:pPr>
        <w:spacing w:after="120" w:line="276" w:lineRule="auto"/>
        <w:ind w:firstLine="420" w:firstLineChars="200"/>
        <w:rPr>
          <w:rFonts w:ascii="宋体" w:hAnsi="宋体" w:cs="宋体"/>
        </w:rPr>
      </w:pPr>
      <w:r>
        <w:rPr>
          <w:rFonts w:hint="eastAsia" w:ascii="宋体" w:hAnsi="宋体" w:cs="宋体"/>
        </w:rPr>
        <w:t>13.3 工程试车</w:t>
      </w:r>
    </w:p>
    <w:bookmarkEnd w:id="356"/>
    <w:p>
      <w:pPr>
        <w:spacing w:line="276" w:lineRule="auto"/>
        <w:ind w:firstLine="420" w:firstLineChars="200"/>
        <w:rPr>
          <w:rFonts w:ascii="宋体" w:hAnsi="宋体" w:cs="宋体"/>
        </w:rPr>
      </w:pPr>
      <w:r>
        <w:rPr>
          <w:rFonts w:hint="eastAsia" w:ascii="宋体" w:hAnsi="宋体" w:cs="宋体"/>
        </w:rPr>
        <w:t>13.3.1 试车程序</w:t>
      </w:r>
    </w:p>
    <w:p>
      <w:pPr>
        <w:spacing w:line="276" w:lineRule="auto"/>
        <w:ind w:firstLine="420" w:firstLineChars="200"/>
        <w:rPr>
          <w:rFonts w:ascii="宋体" w:hAnsi="宋体" w:cs="宋体"/>
          <w:u w:val="single"/>
        </w:rPr>
      </w:pPr>
      <w:r>
        <w:rPr>
          <w:rFonts w:hint="eastAsia" w:ascii="宋体" w:hAnsi="宋体" w:cs="宋体"/>
        </w:rPr>
        <w:t>工程试车内容：</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（1）单机无负荷试车费用由</w:t>
      </w:r>
      <w:r>
        <w:rPr>
          <w:rFonts w:hint="eastAsia" w:ascii="宋体" w:hAnsi="宋体" w:cs="宋体"/>
          <w:u w:val="single"/>
        </w:rPr>
        <w:t xml:space="preserve">    /    </w:t>
      </w:r>
      <w:r>
        <w:rPr>
          <w:rFonts w:hint="eastAsia" w:ascii="宋体" w:hAnsi="宋体" w:cs="宋体"/>
        </w:rPr>
        <w:t>承担；</w:t>
      </w:r>
    </w:p>
    <w:p>
      <w:pPr>
        <w:spacing w:line="276" w:lineRule="auto"/>
        <w:ind w:firstLine="420" w:firstLineChars="200"/>
        <w:rPr>
          <w:rFonts w:ascii="宋体" w:hAnsi="宋体" w:cs="宋体"/>
        </w:rPr>
      </w:pPr>
      <w:r>
        <w:rPr>
          <w:rFonts w:hint="eastAsia" w:ascii="宋体" w:hAnsi="宋体" w:cs="宋体"/>
        </w:rPr>
        <w:t>（2）无负荷联动试车费用由</w:t>
      </w:r>
      <w:r>
        <w:rPr>
          <w:rFonts w:hint="eastAsia" w:ascii="宋体" w:hAnsi="宋体" w:cs="宋体"/>
          <w:u w:val="single"/>
        </w:rPr>
        <w:t xml:space="preserve">    /   </w:t>
      </w:r>
      <w:r>
        <w:rPr>
          <w:rFonts w:hint="eastAsia" w:ascii="宋体" w:hAnsi="宋体" w:cs="宋体"/>
        </w:rPr>
        <w:t>承担。</w:t>
      </w:r>
    </w:p>
    <w:p>
      <w:pPr>
        <w:spacing w:line="276" w:lineRule="auto"/>
        <w:ind w:firstLine="420" w:firstLineChars="200"/>
        <w:rPr>
          <w:rFonts w:ascii="宋体" w:hAnsi="宋体" w:cs="宋体"/>
        </w:rPr>
      </w:pPr>
      <w:r>
        <w:rPr>
          <w:rFonts w:hint="eastAsia" w:ascii="宋体" w:hAnsi="宋体" w:cs="宋体"/>
        </w:rPr>
        <w:t>13.3.3 投料试车</w:t>
      </w:r>
    </w:p>
    <w:p>
      <w:pPr>
        <w:spacing w:line="276" w:lineRule="auto"/>
        <w:ind w:firstLine="420" w:firstLineChars="200"/>
        <w:rPr>
          <w:rFonts w:ascii="宋体" w:hAnsi="宋体" w:cs="宋体"/>
        </w:rPr>
      </w:pPr>
      <w:r>
        <w:rPr>
          <w:rFonts w:hint="eastAsia" w:ascii="宋体" w:hAnsi="宋体" w:cs="宋体"/>
        </w:rPr>
        <w:t>关于投料试车相关事项的约定：</w:t>
      </w:r>
      <w:r>
        <w:rPr>
          <w:rFonts w:hint="eastAsia" w:ascii="宋体" w:hAnsi="宋体" w:cs="宋体"/>
          <w:u w:val="single"/>
        </w:rPr>
        <w:t xml:space="preserve">   /   </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13.6 竣工退场</w:t>
      </w:r>
    </w:p>
    <w:p>
      <w:pPr>
        <w:spacing w:line="276" w:lineRule="auto"/>
        <w:ind w:firstLine="420" w:firstLineChars="200"/>
        <w:rPr>
          <w:rFonts w:ascii="宋体" w:hAnsi="宋体" w:cs="宋体"/>
        </w:rPr>
      </w:pPr>
      <w:r>
        <w:rPr>
          <w:rFonts w:hint="eastAsia" w:ascii="宋体" w:hAnsi="宋体" w:cs="宋体"/>
        </w:rPr>
        <w:t>13.6.1 竣工退场</w:t>
      </w:r>
    </w:p>
    <w:p>
      <w:pPr>
        <w:spacing w:line="276" w:lineRule="auto"/>
        <w:ind w:firstLine="420" w:firstLineChars="200"/>
        <w:rPr>
          <w:rFonts w:ascii="宋体" w:hAnsi="宋体" w:cs="宋体"/>
        </w:rPr>
      </w:pPr>
      <w:r>
        <w:rPr>
          <w:rFonts w:hint="eastAsia" w:ascii="宋体" w:hAnsi="宋体" w:cs="宋体"/>
        </w:rPr>
        <w:t>承包人完成竣工退场的期限：</w:t>
      </w:r>
      <w:r>
        <w:rPr>
          <w:rFonts w:hint="eastAsia" w:ascii="宋体" w:hAnsi="宋体" w:cs="宋体"/>
          <w:u w:val="single"/>
        </w:rPr>
        <w:t xml:space="preserve"> </w:t>
      </w:r>
      <w:r>
        <w:rPr>
          <w:rFonts w:hint="eastAsia" w:ascii="宋体" w:hAnsi="宋体" w:cs="宋体"/>
          <w:b/>
          <w:u w:val="single"/>
        </w:rPr>
        <w:t xml:space="preserve"> 颁发工程接收证书后3天内 </w:t>
      </w:r>
      <w:r>
        <w:rPr>
          <w:rFonts w:hint="eastAsia" w:ascii="宋体" w:hAnsi="宋体" w:cs="宋体"/>
          <w:u w:val="single"/>
        </w:rPr>
        <w:t xml:space="preserve">    </w:t>
      </w:r>
      <w:r>
        <w:rPr>
          <w:rFonts w:hint="eastAsia" w:ascii="宋体" w:hAnsi="宋体" w:cs="宋体"/>
        </w:rPr>
        <w:t>。</w:t>
      </w:r>
    </w:p>
    <w:p>
      <w:pPr>
        <w:pStyle w:val="5"/>
        <w:spacing w:line="276" w:lineRule="auto"/>
        <w:rPr>
          <w:rFonts w:ascii="宋体" w:hAnsi="宋体" w:cs="宋体"/>
          <w:b w:val="0"/>
          <w:sz w:val="24"/>
          <w:szCs w:val="24"/>
        </w:rPr>
      </w:pPr>
      <w:r>
        <w:rPr>
          <w:rFonts w:hint="eastAsia" w:ascii="宋体" w:hAnsi="宋体" w:cs="宋体"/>
          <w:b w:val="0"/>
          <w:sz w:val="24"/>
          <w:szCs w:val="24"/>
        </w:rPr>
        <w:t>14. 竣工结算</w:t>
      </w:r>
    </w:p>
    <w:p>
      <w:pPr>
        <w:spacing w:after="120" w:line="276" w:lineRule="auto"/>
        <w:ind w:firstLine="420" w:firstLineChars="200"/>
        <w:rPr>
          <w:rFonts w:ascii="宋体" w:hAnsi="宋体" w:cs="宋体"/>
        </w:rPr>
      </w:pPr>
      <w:r>
        <w:rPr>
          <w:rFonts w:hint="eastAsia" w:ascii="宋体" w:hAnsi="宋体" w:cs="宋体"/>
        </w:rPr>
        <w:t>14.1 竣工付款申请</w:t>
      </w:r>
    </w:p>
    <w:p>
      <w:pPr>
        <w:spacing w:line="276" w:lineRule="auto"/>
        <w:ind w:firstLine="420" w:firstLineChars="200"/>
        <w:rPr>
          <w:rFonts w:ascii="宋体" w:hAnsi="宋体" w:cs="宋体"/>
        </w:rPr>
      </w:pPr>
      <w:r>
        <w:rPr>
          <w:rFonts w:hint="eastAsia" w:ascii="宋体" w:hAnsi="宋体" w:cs="宋体"/>
        </w:rPr>
        <w:t>承包人提交竣工付款申请单的期限：</w:t>
      </w:r>
      <w:r>
        <w:rPr>
          <w:rFonts w:hint="eastAsia" w:ascii="宋体" w:hAnsi="宋体" w:cs="宋体"/>
          <w:u w:val="single"/>
        </w:rPr>
        <w:t xml:space="preserve">  </w:t>
      </w:r>
      <w:r>
        <w:rPr>
          <w:rFonts w:hint="eastAsia" w:ascii="宋体" w:hAnsi="宋体" w:cs="宋体"/>
          <w:b/>
          <w:u w:val="single"/>
        </w:rPr>
        <w:t xml:space="preserve"> 工程竣工验收合格后28天内    </w:t>
      </w:r>
      <w:r>
        <w:rPr>
          <w:rFonts w:hint="eastAsia" w:ascii="宋体" w:hAnsi="宋体" w:cs="宋体"/>
          <w:u w:val="single"/>
        </w:rPr>
        <w:t xml:space="preserve"> </w:t>
      </w:r>
      <w:r>
        <w:rPr>
          <w:rFonts w:hint="eastAsia" w:ascii="宋体" w:hAnsi="宋体" w:cs="宋体"/>
        </w:rPr>
        <w:t>。</w:t>
      </w:r>
    </w:p>
    <w:p>
      <w:pPr>
        <w:spacing w:line="276" w:lineRule="auto"/>
        <w:ind w:firstLine="420" w:firstLineChars="200"/>
        <w:rPr>
          <w:rFonts w:ascii="宋体" w:hAnsi="宋体" w:cs="宋体"/>
          <w:u w:val="single"/>
        </w:rPr>
      </w:pPr>
      <w:r>
        <w:rPr>
          <w:rFonts w:hint="eastAsia" w:ascii="宋体" w:hAnsi="宋体" w:cs="宋体"/>
        </w:rPr>
        <w:t>竣工付款申请单应包括的内容：</w:t>
      </w:r>
      <w:r>
        <w:rPr>
          <w:rFonts w:hint="eastAsia" w:ascii="宋体" w:hAnsi="宋体" w:cs="宋体"/>
          <w:u w:val="single"/>
        </w:rPr>
        <w:t xml:space="preserve">   </w:t>
      </w:r>
      <w:r>
        <w:rPr>
          <w:rFonts w:hint="eastAsia" w:ascii="宋体" w:hAnsi="宋体" w:cs="宋体"/>
          <w:b/>
          <w:u w:val="single"/>
        </w:rPr>
        <w:t>见通用条款。</w:t>
      </w:r>
    </w:p>
    <w:p>
      <w:pPr>
        <w:spacing w:line="276" w:lineRule="auto"/>
        <w:ind w:firstLine="420" w:firstLineChars="200"/>
        <w:rPr>
          <w:rFonts w:ascii="宋体" w:hAnsi="宋体" w:cs="宋体"/>
        </w:rPr>
      </w:pPr>
      <w:r>
        <w:rPr>
          <w:rFonts w:hint="eastAsia" w:ascii="宋体" w:hAnsi="宋体" w:cs="宋体"/>
        </w:rPr>
        <w:t>14.2 竣工结算审核</w:t>
      </w:r>
    </w:p>
    <w:p>
      <w:pPr>
        <w:spacing w:line="276" w:lineRule="auto"/>
        <w:ind w:firstLine="420" w:firstLineChars="200"/>
        <w:rPr>
          <w:rFonts w:ascii="宋体" w:hAnsi="宋体" w:cs="宋体"/>
        </w:rPr>
      </w:pPr>
      <w:r>
        <w:rPr>
          <w:rFonts w:hint="eastAsia" w:ascii="宋体" w:hAnsi="宋体" w:cs="宋体"/>
        </w:rPr>
        <w:t>发包人审批竣工付款申请单的期限：</w:t>
      </w:r>
      <w:r>
        <w:rPr>
          <w:rFonts w:hint="eastAsia" w:ascii="宋体" w:hAnsi="宋体" w:cs="宋体"/>
          <w:u w:val="single"/>
        </w:rPr>
        <w:t xml:space="preserve">  </w:t>
      </w:r>
      <w:r>
        <w:rPr>
          <w:rFonts w:hint="eastAsia" w:ascii="宋体" w:hAnsi="宋体" w:cs="宋体"/>
          <w:b/>
          <w:u w:val="single"/>
        </w:rPr>
        <w:t xml:space="preserve">收到竣工付款申请单14天内。 </w:t>
      </w:r>
      <w:r>
        <w:rPr>
          <w:rFonts w:hint="eastAsia" w:ascii="宋体" w:hAnsi="宋体" w:cs="宋体"/>
          <w:u w:val="single"/>
        </w:rPr>
        <w:t xml:space="preserve">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发包人完成竣工付款的期限：</w:t>
      </w:r>
      <w:r>
        <w:rPr>
          <w:rFonts w:hint="eastAsia" w:ascii="宋体" w:hAnsi="宋体" w:cs="宋体"/>
          <w:u w:val="single"/>
        </w:rPr>
        <w:t xml:space="preserve">   </w:t>
      </w:r>
      <w:r>
        <w:rPr>
          <w:rFonts w:hint="eastAsia" w:ascii="宋体" w:hAnsi="宋体" w:cs="宋体"/>
          <w:b/>
          <w:u w:val="single"/>
        </w:rPr>
        <w:t xml:space="preserve">签发竣工付款申请单28天内  </w:t>
      </w:r>
      <w:r>
        <w:rPr>
          <w:rFonts w:hint="eastAsia" w:ascii="宋体" w:hAnsi="宋体" w:cs="宋体"/>
          <w:u w:val="single"/>
        </w:rPr>
        <w:t xml:space="preserve">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关于竣工付款证书异议部分复核的方式和程序：</w:t>
      </w:r>
      <w:r>
        <w:rPr>
          <w:rFonts w:hint="eastAsia" w:ascii="宋体" w:hAnsi="宋体" w:cs="宋体"/>
          <w:u w:val="single"/>
        </w:rPr>
        <w:t xml:space="preserve">  </w:t>
      </w:r>
      <w:r>
        <w:rPr>
          <w:rFonts w:hint="eastAsia" w:ascii="宋体" w:hAnsi="宋体" w:cs="宋体"/>
          <w:b/>
          <w:u w:val="single"/>
        </w:rPr>
        <w:t>以发包人签字的竣工结算证书为准，承包人不得提出异议</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14.4 最终结清</w:t>
      </w:r>
    </w:p>
    <w:p>
      <w:pPr>
        <w:spacing w:line="276" w:lineRule="auto"/>
        <w:ind w:firstLine="420" w:firstLineChars="200"/>
        <w:rPr>
          <w:rFonts w:ascii="宋体" w:hAnsi="宋体" w:cs="宋体"/>
        </w:rPr>
      </w:pPr>
      <w:r>
        <w:rPr>
          <w:rFonts w:hint="eastAsia" w:ascii="宋体" w:hAnsi="宋体" w:cs="宋体"/>
        </w:rPr>
        <w:t>14.4.1 最终结清申请单</w:t>
      </w:r>
    </w:p>
    <w:p>
      <w:pPr>
        <w:spacing w:line="276" w:lineRule="auto"/>
        <w:ind w:firstLine="420" w:firstLineChars="200"/>
        <w:rPr>
          <w:rFonts w:ascii="宋体" w:hAnsi="宋体" w:cs="宋体"/>
        </w:rPr>
      </w:pPr>
      <w:r>
        <w:rPr>
          <w:rFonts w:hint="eastAsia" w:ascii="宋体" w:hAnsi="宋体" w:cs="宋体"/>
        </w:rPr>
        <w:t>承包人提交最终结清申请单的份数：</w:t>
      </w:r>
      <w:r>
        <w:rPr>
          <w:rFonts w:hint="eastAsia" w:ascii="宋体" w:hAnsi="宋体" w:cs="宋体"/>
          <w:u w:val="single"/>
        </w:rPr>
        <w:t xml:space="preserve">   </w:t>
      </w:r>
      <w:r>
        <w:rPr>
          <w:rFonts w:hint="eastAsia" w:ascii="宋体" w:hAnsi="宋体" w:cs="宋体"/>
          <w:b/>
          <w:u w:val="single"/>
        </w:rPr>
        <w:t xml:space="preserve"> 四份 </w:t>
      </w:r>
      <w:r>
        <w:rPr>
          <w:rFonts w:hint="eastAsia" w:ascii="宋体" w:hAnsi="宋体" w:cs="宋体"/>
          <w:u w:val="single"/>
        </w:rPr>
        <w:t xml:space="preserve">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承包人提交最终结算申请单的期限：</w:t>
      </w:r>
      <w:r>
        <w:rPr>
          <w:rFonts w:hint="eastAsia" w:ascii="宋体" w:hAnsi="宋体" w:cs="宋体"/>
          <w:u w:val="single"/>
        </w:rPr>
        <w:t xml:space="preserve">   </w:t>
      </w:r>
      <w:r>
        <w:rPr>
          <w:rFonts w:hint="eastAsia" w:ascii="宋体" w:hAnsi="宋体" w:cs="宋体"/>
          <w:b/>
          <w:u w:val="single"/>
        </w:rPr>
        <w:t xml:space="preserve">缺陷责任期满7天内 </w:t>
      </w:r>
      <w:r>
        <w:rPr>
          <w:rFonts w:hint="eastAsia" w:ascii="宋体" w:hAnsi="宋体" w:cs="宋体"/>
          <w:u w:val="single"/>
        </w:rPr>
        <w:t xml:space="preserve">  </w:t>
      </w:r>
      <w:r>
        <w:rPr>
          <w:rFonts w:hint="eastAsia" w:ascii="宋体" w:hAnsi="宋体" w:cs="宋体"/>
        </w:rPr>
        <w:t xml:space="preserve">。 </w:t>
      </w:r>
    </w:p>
    <w:p>
      <w:pPr>
        <w:spacing w:line="276" w:lineRule="auto"/>
        <w:ind w:firstLine="420" w:firstLineChars="200"/>
        <w:rPr>
          <w:rFonts w:ascii="宋体" w:hAnsi="宋体" w:cs="宋体"/>
        </w:rPr>
      </w:pPr>
      <w:r>
        <w:rPr>
          <w:rFonts w:hint="eastAsia" w:ascii="宋体" w:hAnsi="宋体" w:cs="宋体"/>
        </w:rPr>
        <w:t>14.4.2 最终结清证书和支付</w:t>
      </w:r>
    </w:p>
    <w:p>
      <w:pPr>
        <w:spacing w:line="276" w:lineRule="auto"/>
        <w:ind w:firstLine="420" w:firstLineChars="200"/>
        <w:rPr>
          <w:rFonts w:ascii="宋体" w:hAnsi="宋体" w:cs="宋体"/>
        </w:rPr>
      </w:pPr>
      <w:r>
        <w:rPr>
          <w:rFonts w:hint="eastAsia" w:ascii="宋体" w:hAnsi="宋体" w:cs="宋体"/>
        </w:rPr>
        <w:t>（1）发包人完成最终结清申请单的审批并颁发最终结清证书的期限：</w:t>
      </w:r>
      <w:r>
        <w:rPr>
          <w:rFonts w:hint="eastAsia" w:ascii="宋体" w:hAnsi="宋体" w:cs="宋体"/>
          <w:b/>
          <w:u w:val="single"/>
        </w:rPr>
        <w:t>缺陷责任期且无其他质量问题</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（2）发包人完成支付的期限：</w:t>
      </w:r>
      <w:r>
        <w:rPr>
          <w:rFonts w:hint="eastAsia" w:ascii="宋体" w:hAnsi="宋体" w:cs="宋体"/>
          <w:b/>
          <w:u w:val="single"/>
        </w:rPr>
        <w:t>缺陷责任期且无其他质量问题后30天内</w:t>
      </w:r>
      <w:r>
        <w:rPr>
          <w:rFonts w:hint="eastAsia" w:ascii="宋体" w:hAnsi="宋体" w:cs="宋体"/>
          <w:b/>
        </w:rPr>
        <w:t>。</w:t>
      </w:r>
    </w:p>
    <w:p>
      <w:pPr>
        <w:pStyle w:val="5"/>
        <w:spacing w:line="276" w:lineRule="auto"/>
        <w:rPr>
          <w:rFonts w:ascii="宋体" w:hAnsi="宋体" w:cs="宋体"/>
          <w:b w:val="0"/>
          <w:sz w:val="24"/>
          <w:szCs w:val="24"/>
        </w:rPr>
      </w:pPr>
      <w:r>
        <w:rPr>
          <w:rFonts w:hint="eastAsia" w:ascii="宋体" w:hAnsi="宋体" w:cs="宋体"/>
          <w:b w:val="0"/>
          <w:sz w:val="24"/>
          <w:szCs w:val="24"/>
        </w:rPr>
        <w:t>15. 缺陷责任期与保修</w:t>
      </w:r>
    </w:p>
    <w:p>
      <w:pPr>
        <w:spacing w:after="120" w:line="276" w:lineRule="auto"/>
        <w:ind w:firstLine="420" w:firstLineChars="200"/>
        <w:rPr>
          <w:rFonts w:ascii="宋体" w:hAnsi="宋体" w:cs="宋体"/>
        </w:rPr>
      </w:pPr>
      <w:r>
        <w:rPr>
          <w:rFonts w:hint="eastAsia" w:ascii="宋体" w:hAnsi="宋体" w:cs="宋体"/>
        </w:rPr>
        <w:t>15.2缺陷责任期</w:t>
      </w:r>
    </w:p>
    <w:p>
      <w:pPr>
        <w:spacing w:line="276" w:lineRule="auto"/>
        <w:ind w:firstLine="420" w:firstLineChars="200"/>
        <w:rPr>
          <w:rFonts w:ascii="宋体" w:hAnsi="宋体" w:cs="宋体"/>
          <w:u w:val="single"/>
        </w:rPr>
      </w:pPr>
      <w:r>
        <w:rPr>
          <w:rFonts w:hint="eastAsia" w:ascii="宋体" w:hAnsi="宋体" w:cs="宋体"/>
        </w:rPr>
        <w:t>缺陷责任期的具体期限：</w:t>
      </w:r>
      <w:r>
        <w:rPr>
          <w:rFonts w:hint="eastAsia" w:ascii="宋体" w:hAnsi="宋体" w:cs="宋体"/>
          <w:b/>
          <w:u w:val="single"/>
        </w:rPr>
        <w:t>同工程质量保修书期限</w:t>
      </w:r>
      <w:r>
        <w:rPr>
          <w:rFonts w:hint="eastAsia" w:ascii="宋体" w:hAnsi="宋体" w:cs="宋体"/>
          <w:b/>
        </w:rPr>
        <w:t>。</w:t>
      </w:r>
    </w:p>
    <w:p>
      <w:pPr>
        <w:spacing w:after="120" w:line="276" w:lineRule="auto"/>
        <w:ind w:firstLine="420" w:firstLineChars="200"/>
        <w:rPr>
          <w:rFonts w:ascii="宋体" w:hAnsi="宋体" w:cs="宋体"/>
        </w:rPr>
      </w:pPr>
      <w:r>
        <w:rPr>
          <w:rFonts w:hint="eastAsia" w:ascii="宋体" w:hAnsi="宋体" w:cs="宋体"/>
        </w:rPr>
        <w:t>15.3 质量保证金</w:t>
      </w:r>
    </w:p>
    <w:p>
      <w:pPr>
        <w:spacing w:line="276" w:lineRule="auto"/>
        <w:ind w:firstLine="420" w:firstLineChars="200"/>
        <w:rPr>
          <w:rFonts w:ascii="宋体" w:hAnsi="宋体" w:cs="宋体"/>
        </w:rPr>
      </w:pPr>
      <w:r>
        <w:rPr>
          <w:rFonts w:hint="eastAsia" w:ascii="宋体" w:hAnsi="宋体" w:cs="宋体"/>
        </w:rPr>
        <w:t>关于是否扣留质量保证金的约定：</w:t>
      </w:r>
      <w:r>
        <w:rPr>
          <w:rFonts w:hint="eastAsia" w:ascii="宋体" w:hAnsi="宋体" w:cs="宋体"/>
          <w:u w:val="single"/>
        </w:rPr>
        <w:t xml:space="preserve">    扣留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在工程项目竣工前，承包人按专用合同条款第3.7条提供履约担保的，发包人不得同时预留工程质量保证金。</w:t>
      </w:r>
    </w:p>
    <w:p>
      <w:pPr>
        <w:spacing w:line="276" w:lineRule="auto"/>
        <w:ind w:firstLine="420" w:firstLineChars="200"/>
        <w:rPr>
          <w:rFonts w:ascii="宋体" w:hAnsi="宋体" w:cs="宋体"/>
        </w:rPr>
      </w:pPr>
      <w:r>
        <w:rPr>
          <w:rFonts w:hint="eastAsia" w:ascii="宋体" w:hAnsi="宋体" w:cs="宋体"/>
        </w:rPr>
        <w:t>15.3.1 承包人提供质量保证金的方式</w:t>
      </w:r>
    </w:p>
    <w:p>
      <w:pPr>
        <w:spacing w:line="276" w:lineRule="auto"/>
        <w:ind w:firstLine="420" w:firstLineChars="200"/>
        <w:rPr>
          <w:rFonts w:ascii="宋体" w:hAnsi="宋体" w:cs="宋体"/>
        </w:rPr>
      </w:pPr>
      <w:r>
        <w:rPr>
          <w:rFonts w:hint="eastAsia" w:ascii="宋体" w:hAnsi="宋体" w:cs="宋体"/>
        </w:rPr>
        <w:t>质量保证金采用以下第</w:t>
      </w:r>
      <w:r>
        <w:rPr>
          <w:rFonts w:hint="eastAsia" w:ascii="宋体" w:hAnsi="宋体" w:cs="宋体"/>
          <w:u w:val="single"/>
        </w:rPr>
        <w:t xml:space="preserve">  2 </w:t>
      </w:r>
      <w:r>
        <w:rPr>
          <w:rFonts w:hint="eastAsia" w:ascii="宋体" w:hAnsi="宋体" w:cs="宋体"/>
        </w:rPr>
        <w:t>种方式：</w:t>
      </w:r>
    </w:p>
    <w:p>
      <w:pPr>
        <w:autoSpaceDE w:val="0"/>
        <w:autoSpaceDN w:val="0"/>
        <w:adjustRightInd w:val="0"/>
        <w:spacing w:line="276" w:lineRule="auto"/>
        <w:ind w:firstLine="420" w:firstLineChars="200"/>
        <w:rPr>
          <w:rFonts w:ascii="宋体" w:hAnsi="宋体" w:cs="宋体"/>
        </w:rPr>
      </w:pPr>
      <w:r>
        <w:rPr>
          <w:rFonts w:hint="eastAsia" w:ascii="宋体" w:hAnsi="宋体" w:cs="宋体"/>
        </w:rPr>
        <w:t>（1）质量保证金保函，保证金额为：</w:t>
      </w:r>
      <w:r>
        <w:rPr>
          <w:rFonts w:hint="eastAsia" w:ascii="宋体" w:hAnsi="宋体" w:cs="宋体"/>
          <w:u w:val="single"/>
        </w:rPr>
        <w:t xml:space="preserve">   /    </w:t>
      </w:r>
      <w:r>
        <w:rPr>
          <w:rFonts w:hint="eastAsia" w:ascii="宋体" w:hAnsi="宋体" w:cs="宋体"/>
        </w:rPr>
        <w:t xml:space="preserve">； </w:t>
      </w:r>
    </w:p>
    <w:p>
      <w:pPr>
        <w:autoSpaceDE w:val="0"/>
        <w:autoSpaceDN w:val="0"/>
        <w:adjustRightInd w:val="0"/>
        <w:spacing w:line="276" w:lineRule="auto"/>
        <w:ind w:firstLine="420" w:firstLineChars="200"/>
        <w:rPr>
          <w:rFonts w:ascii="宋体" w:hAnsi="宋体" w:cs="宋体"/>
        </w:rPr>
      </w:pPr>
      <w:r>
        <w:rPr>
          <w:rFonts w:hint="eastAsia" w:ascii="宋体" w:hAnsi="宋体" w:cs="宋体"/>
        </w:rPr>
        <w:t>（2）</w:t>
      </w:r>
      <w:r>
        <w:rPr>
          <w:rFonts w:hint="eastAsia" w:ascii="宋体" w:hAnsi="宋体" w:cs="宋体"/>
          <w:b/>
          <w:u w:val="single"/>
        </w:rPr>
        <w:t>3</w:t>
      </w:r>
      <w:r>
        <w:rPr>
          <w:rFonts w:hint="eastAsia" w:ascii="宋体" w:hAnsi="宋体" w:cs="宋体"/>
          <w:b/>
        </w:rPr>
        <w:t>%</w:t>
      </w:r>
      <w:r>
        <w:rPr>
          <w:rFonts w:hint="eastAsia" w:ascii="宋体" w:hAnsi="宋体" w:cs="宋体"/>
        </w:rPr>
        <w:t>的审计结算工程款；</w:t>
      </w:r>
    </w:p>
    <w:p>
      <w:pPr>
        <w:autoSpaceDE w:val="0"/>
        <w:autoSpaceDN w:val="0"/>
        <w:adjustRightInd w:val="0"/>
        <w:spacing w:line="276" w:lineRule="auto"/>
        <w:ind w:firstLine="420" w:firstLineChars="200"/>
        <w:rPr>
          <w:rFonts w:ascii="宋体" w:hAnsi="宋体" w:cs="宋体"/>
        </w:rPr>
      </w:pPr>
      <w:r>
        <w:rPr>
          <w:rFonts w:hint="eastAsia" w:ascii="宋体" w:hAnsi="宋体" w:cs="宋体"/>
        </w:rPr>
        <w:t>（3）其他方式:</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 xml:space="preserve">15.3.2 质量保证金的扣留 </w:t>
      </w:r>
    </w:p>
    <w:p>
      <w:pPr>
        <w:spacing w:line="276" w:lineRule="auto"/>
        <w:ind w:firstLine="420" w:firstLineChars="200"/>
        <w:rPr>
          <w:rFonts w:ascii="宋体" w:hAnsi="宋体" w:cs="宋体"/>
        </w:rPr>
      </w:pPr>
      <w:r>
        <w:rPr>
          <w:rFonts w:hint="eastAsia" w:ascii="宋体" w:hAnsi="宋体" w:cs="宋体"/>
        </w:rPr>
        <w:t>质量保证金的扣留采取以下第</w:t>
      </w:r>
      <w:r>
        <w:rPr>
          <w:rFonts w:hint="eastAsia" w:ascii="宋体" w:hAnsi="宋体" w:cs="宋体"/>
          <w:u w:val="single"/>
        </w:rPr>
        <w:t xml:space="preserve">  2 </w:t>
      </w:r>
      <w:r>
        <w:rPr>
          <w:rFonts w:hint="eastAsia" w:ascii="宋体" w:hAnsi="宋体" w:cs="宋体"/>
        </w:rPr>
        <w:t>种方式：</w:t>
      </w:r>
    </w:p>
    <w:p>
      <w:pPr>
        <w:autoSpaceDE w:val="0"/>
        <w:autoSpaceDN w:val="0"/>
        <w:adjustRightInd w:val="0"/>
        <w:spacing w:line="276" w:lineRule="auto"/>
        <w:ind w:firstLine="420" w:firstLineChars="200"/>
        <w:rPr>
          <w:rFonts w:ascii="宋体" w:hAnsi="宋体" w:cs="宋体"/>
        </w:rPr>
      </w:pPr>
      <w:r>
        <w:rPr>
          <w:rFonts w:hint="eastAsia" w:ascii="宋体" w:hAnsi="宋体" w:cs="宋体"/>
        </w:rPr>
        <w:t>（1）在支付工程进度款时逐次扣留，在此情形下，质量保证金的计算基数不包括预付款的支付、扣回以及价格调整的金额；</w:t>
      </w:r>
    </w:p>
    <w:p>
      <w:pPr>
        <w:autoSpaceDE w:val="0"/>
        <w:autoSpaceDN w:val="0"/>
        <w:adjustRightInd w:val="0"/>
        <w:spacing w:line="276" w:lineRule="auto"/>
        <w:ind w:firstLine="420" w:firstLineChars="200"/>
        <w:rPr>
          <w:rFonts w:ascii="宋体" w:hAnsi="宋体" w:cs="宋体"/>
        </w:rPr>
      </w:pPr>
      <w:r>
        <w:rPr>
          <w:rFonts w:hint="eastAsia" w:ascii="宋体" w:hAnsi="宋体" w:cs="宋体"/>
        </w:rPr>
        <w:t>（2）工程竣工结算时一次性扣留质量保证金；</w:t>
      </w:r>
    </w:p>
    <w:p>
      <w:pPr>
        <w:autoSpaceDE w:val="0"/>
        <w:autoSpaceDN w:val="0"/>
        <w:adjustRightInd w:val="0"/>
        <w:spacing w:line="276" w:lineRule="auto"/>
        <w:ind w:firstLine="420" w:firstLineChars="200"/>
        <w:rPr>
          <w:rFonts w:ascii="宋体" w:hAnsi="宋体" w:cs="宋体"/>
        </w:rPr>
      </w:pPr>
      <w:r>
        <w:rPr>
          <w:rFonts w:hint="eastAsia" w:ascii="宋体" w:hAnsi="宋体" w:cs="宋体"/>
        </w:rPr>
        <w:t>（3）其他扣留方式:</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b/>
          <w:u w:val="single"/>
        </w:rPr>
      </w:pPr>
      <w:r>
        <w:rPr>
          <w:rFonts w:hint="eastAsia" w:ascii="宋体" w:hAnsi="宋体" w:cs="宋体"/>
        </w:rPr>
        <w:t>关于质量保证金的补充约定：</w:t>
      </w:r>
      <w:r>
        <w:rPr>
          <w:rFonts w:hint="eastAsia" w:ascii="宋体" w:hAnsi="宋体" w:cs="宋体"/>
          <w:b/>
          <w:u w:val="single"/>
        </w:rPr>
        <w:t>属于保修范围、内容的项目，承包人应当在接到保修通知之日起48小时内派人保修。承包人不在约定期限内派人保修的或经历2次以上（含2次）维修仍然不能解决问题的，发包人可以委托他人修理，所发生的费用在此基础上另行增加20%的发包人管理费一并由发包人在质量保证金中扣除，不足部分，发包人有权向承包人追偿，承包人不得对保修费用金额提出异议。</w:t>
      </w:r>
    </w:p>
    <w:p>
      <w:pPr>
        <w:spacing w:line="276" w:lineRule="auto"/>
        <w:ind w:firstLine="420" w:firstLineChars="200"/>
        <w:rPr>
          <w:rFonts w:ascii="宋体" w:hAnsi="宋体" w:cs="宋体"/>
        </w:rPr>
      </w:pPr>
      <w:r>
        <w:rPr>
          <w:rFonts w:hint="eastAsia" w:ascii="宋体" w:hAnsi="宋体" w:cs="宋体"/>
        </w:rPr>
        <w:t>15.4保修</w:t>
      </w:r>
    </w:p>
    <w:p>
      <w:pPr>
        <w:spacing w:line="276" w:lineRule="auto"/>
        <w:ind w:firstLine="409" w:firstLineChars="195"/>
        <w:rPr>
          <w:rFonts w:ascii="宋体" w:hAnsi="宋体" w:cs="宋体"/>
        </w:rPr>
      </w:pPr>
      <w:r>
        <w:rPr>
          <w:rFonts w:hint="eastAsia" w:ascii="宋体" w:hAnsi="宋体" w:cs="宋体"/>
        </w:rPr>
        <w:t>15.4.1 保修责任</w:t>
      </w:r>
    </w:p>
    <w:p>
      <w:pPr>
        <w:spacing w:line="276" w:lineRule="auto"/>
        <w:ind w:firstLine="409" w:firstLineChars="195"/>
        <w:rPr>
          <w:rFonts w:ascii="宋体" w:hAnsi="宋体" w:cs="宋体"/>
        </w:rPr>
      </w:pPr>
      <w:r>
        <w:rPr>
          <w:rFonts w:hint="eastAsia" w:ascii="宋体" w:hAnsi="宋体" w:cs="宋体"/>
        </w:rPr>
        <w:t>工程保修期为：</w:t>
      </w:r>
      <w:r>
        <w:rPr>
          <w:rFonts w:hint="eastAsia" w:ascii="宋体" w:hAnsi="宋体" w:cs="宋体"/>
          <w:u w:val="single"/>
        </w:rPr>
        <w:t xml:space="preserve"> </w:t>
      </w:r>
      <w:r>
        <w:rPr>
          <w:rFonts w:hint="eastAsia" w:ascii="宋体" w:hAnsi="宋体" w:cs="宋体"/>
          <w:b/>
          <w:u w:val="single"/>
        </w:rPr>
        <w:t xml:space="preserve"> 见工程质量保修书，满足《建设工程质量管理条例》及有关规定</w:t>
      </w:r>
      <w:r>
        <w:rPr>
          <w:rFonts w:hint="eastAsia" w:ascii="宋体" w:hAnsi="宋体" w:cs="宋体"/>
          <w:b/>
        </w:rPr>
        <w:t>。</w:t>
      </w:r>
      <w:r>
        <w:rPr>
          <w:rFonts w:hint="eastAsia" w:ascii="宋体" w:hAnsi="宋体" w:cs="宋体"/>
        </w:rPr>
        <w:t xml:space="preserve"> </w:t>
      </w:r>
    </w:p>
    <w:p>
      <w:pPr>
        <w:spacing w:line="276" w:lineRule="auto"/>
        <w:ind w:firstLine="409" w:firstLineChars="195"/>
        <w:rPr>
          <w:rFonts w:ascii="宋体" w:hAnsi="宋体" w:cs="宋体"/>
        </w:rPr>
      </w:pPr>
      <w:r>
        <w:rPr>
          <w:rFonts w:hint="eastAsia" w:ascii="宋体" w:hAnsi="宋体" w:cs="宋体"/>
        </w:rPr>
        <w:t>15.4.3 修复通知</w:t>
      </w:r>
    </w:p>
    <w:p>
      <w:pPr>
        <w:spacing w:line="276" w:lineRule="auto"/>
        <w:ind w:firstLine="409" w:firstLineChars="195"/>
        <w:rPr>
          <w:rFonts w:ascii="宋体" w:hAnsi="宋体" w:cs="宋体"/>
          <w:u w:val="single"/>
        </w:rPr>
      </w:pPr>
      <w:r>
        <w:rPr>
          <w:rFonts w:hint="eastAsia" w:ascii="宋体" w:hAnsi="宋体" w:cs="宋体"/>
        </w:rPr>
        <w:t>承包人收到保修通知并到达工程现场的合理时间：</w:t>
      </w:r>
      <w:r>
        <w:rPr>
          <w:rFonts w:hint="eastAsia" w:ascii="宋体" w:hAnsi="宋体" w:cs="宋体"/>
          <w:b/>
          <w:u w:val="single"/>
        </w:rPr>
        <w:t>48小时内</w:t>
      </w:r>
      <w:r>
        <w:rPr>
          <w:rFonts w:hint="eastAsia" w:ascii="宋体" w:hAnsi="宋体" w:cs="宋体"/>
          <w:b/>
        </w:rPr>
        <w:t>。</w:t>
      </w:r>
    </w:p>
    <w:p>
      <w:pPr>
        <w:pStyle w:val="5"/>
        <w:spacing w:line="276" w:lineRule="auto"/>
        <w:rPr>
          <w:rFonts w:ascii="宋体" w:hAnsi="宋体" w:cs="宋体"/>
          <w:b w:val="0"/>
          <w:sz w:val="24"/>
          <w:szCs w:val="24"/>
        </w:rPr>
      </w:pPr>
      <w:bookmarkStart w:id="357" w:name="_Toc351203648"/>
      <w:bookmarkStart w:id="358" w:name="_Toc280868717"/>
      <w:bookmarkStart w:id="359" w:name="_Toc280868718"/>
      <w:r>
        <w:rPr>
          <w:rFonts w:hint="eastAsia" w:ascii="宋体" w:hAnsi="宋体" w:cs="宋体"/>
          <w:b w:val="0"/>
          <w:sz w:val="24"/>
          <w:szCs w:val="24"/>
        </w:rPr>
        <w:t>16. 违约</w:t>
      </w:r>
      <w:bookmarkEnd w:id="357"/>
    </w:p>
    <w:p>
      <w:pPr>
        <w:spacing w:after="120" w:line="276" w:lineRule="auto"/>
        <w:ind w:firstLine="420" w:firstLineChars="200"/>
        <w:rPr>
          <w:rFonts w:ascii="宋体" w:hAnsi="宋体" w:cs="宋体"/>
        </w:rPr>
      </w:pPr>
      <w:r>
        <w:rPr>
          <w:rFonts w:hint="eastAsia" w:ascii="宋体" w:hAnsi="宋体" w:cs="宋体"/>
        </w:rPr>
        <w:t>16.1 发包人违约</w:t>
      </w:r>
    </w:p>
    <w:p>
      <w:pPr>
        <w:spacing w:line="276" w:lineRule="auto"/>
        <w:ind w:firstLine="420" w:firstLineChars="200"/>
        <w:rPr>
          <w:rFonts w:ascii="宋体" w:hAnsi="宋体" w:cs="宋体"/>
        </w:rPr>
      </w:pPr>
      <w:r>
        <w:rPr>
          <w:rFonts w:hint="eastAsia" w:ascii="宋体" w:hAnsi="宋体" w:cs="宋体"/>
        </w:rPr>
        <w:t>16.1.1发包人违约的情形</w:t>
      </w:r>
    </w:p>
    <w:p>
      <w:pPr>
        <w:spacing w:line="276" w:lineRule="auto"/>
        <w:ind w:left="1050" w:hanging="1050" w:hangingChars="500"/>
        <w:rPr>
          <w:rFonts w:ascii="宋体" w:hAnsi="宋体" w:cs="宋体"/>
        </w:rPr>
      </w:pPr>
      <w:r>
        <w:rPr>
          <w:rFonts w:hint="eastAsia" w:ascii="宋体" w:hAnsi="宋体" w:cs="宋体"/>
        </w:rPr>
        <w:t>发包人违约的其他情形：</w:t>
      </w:r>
      <w:r>
        <w:rPr>
          <w:rFonts w:hint="eastAsia" w:ascii="宋体" w:hAnsi="宋体" w:cs="宋体"/>
          <w:u w:val="single"/>
        </w:rPr>
        <w:t xml:space="preserve">    /   </w:t>
      </w:r>
      <w:r>
        <w:rPr>
          <w:rFonts w:hint="eastAsia" w:ascii="宋体" w:hAnsi="宋体" w:cs="宋体"/>
        </w:rPr>
        <w:t>。</w:t>
      </w:r>
    </w:p>
    <w:p>
      <w:pPr>
        <w:spacing w:line="276" w:lineRule="auto"/>
        <w:ind w:left="1050" w:hanging="1050" w:hangingChars="500"/>
        <w:rPr>
          <w:rFonts w:ascii="宋体" w:hAnsi="宋体" w:cs="宋体"/>
        </w:rPr>
      </w:pPr>
      <w:r>
        <w:rPr>
          <w:rFonts w:hint="eastAsia" w:ascii="宋体" w:hAnsi="宋体" w:cs="宋体"/>
        </w:rPr>
        <w:t xml:space="preserve">    16.1.2 发包人违约的责任</w:t>
      </w:r>
    </w:p>
    <w:p>
      <w:pPr>
        <w:spacing w:line="276" w:lineRule="auto"/>
        <w:ind w:firstLine="420" w:firstLineChars="200"/>
        <w:rPr>
          <w:rFonts w:ascii="宋体" w:hAnsi="宋体" w:cs="宋体"/>
        </w:rPr>
      </w:pPr>
      <w:r>
        <w:rPr>
          <w:rFonts w:hint="eastAsia" w:ascii="宋体" w:hAnsi="宋体" w:cs="宋体"/>
        </w:rPr>
        <w:t>发包人违约责任的承担方式和计算方法：</w:t>
      </w:r>
    </w:p>
    <w:p>
      <w:pPr>
        <w:spacing w:line="276" w:lineRule="auto"/>
        <w:ind w:firstLine="420" w:firstLineChars="200"/>
        <w:rPr>
          <w:rFonts w:ascii="宋体" w:hAnsi="宋体" w:cs="宋体"/>
          <w:b/>
          <w:u w:val="single"/>
        </w:rPr>
      </w:pPr>
      <w:r>
        <w:rPr>
          <w:rFonts w:hint="eastAsia" w:ascii="宋体" w:hAnsi="宋体" w:cs="宋体"/>
        </w:rPr>
        <w:t>（1）因发包人原因未能在计划开工日期前7天内下达开工通知的违约责任：</w:t>
      </w:r>
      <w:r>
        <w:rPr>
          <w:rFonts w:hint="eastAsia" w:ascii="宋体" w:hAnsi="宋体" w:cs="宋体"/>
          <w:b/>
          <w:u w:val="single"/>
        </w:rPr>
        <w:t>工期可顺延，承包人不得提出其它异议和索赔</w:t>
      </w:r>
      <w:r>
        <w:rPr>
          <w:rFonts w:hint="eastAsia" w:ascii="宋体" w:hAnsi="宋体" w:cs="宋体"/>
          <w:b/>
        </w:rPr>
        <w:t>。</w:t>
      </w:r>
    </w:p>
    <w:p>
      <w:pPr>
        <w:spacing w:line="276" w:lineRule="auto"/>
        <w:ind w:firstLine="420" w:firstLineChars="200"/>
        <w:rPr>
          <w:rFonts w:ascii="宋体" w:hAnsi="宋体" w:cs="宋体"/>
        </w:rPr>
      </w:pPr>
      <w:r>
        <w:rPr>
          <w:rFonts w:hint="eastAsia" w:ascii="宋体" w:hAnsi="宋体" w:cs="宋体"/>
        </w:rPr>
        <w:t>（2）因发包人原因未能按合同约定支付合同价款的违约责任：</w:t>
      </w:r>
      <w:r>
        <w:rPr>
          <w:rFonts w:hint="eastAsia" w:ascii="宋体" w:hAnsi="宋体" w:cs="宋体"/>
          <w:b/>
          <w:u w:val="single"/>
        </w:rPr>
        <w:t>不采用</w:t>
      </w:r>
      <w:r>
        <w:rPr>
          <w:rFonts w:hint="eastAsia" w:ascii="宋体" w:hAnsi="宋体" w:cs="宋体"/>
          <w:u w:val="single"/>
        </w:rPr>
        <w:t xml:space="preserve">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（3）发包人违反第10.1款〔变更的范围〕第（2）项约定，自行实施被取消的工作或转由他人实施的违约责任：</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（4）发包人提供的材料、工程设备的规格、数量或质量不符合合同约定，或因发包人原因导致交货日期延误或交货地点变更等情况的违约责任：</w:t>
      </w:r>
      <w:r>
        <w:rPr>
          <w:rFonts w:hint="eastAsia" w:ascii="宋体" w:hAnsi="宋体" w:cs="宋体"/>
          <w:u w:val="single"/>
        </w:rPr>
        <w:t xml:space="preserve">    </w:t>
      </w:r>
      <w:r>
        <w:rPr>
          <w:rFonts w:hint="eastAsia" w:ascii="宋体" w:hAnsi="宋体" w:cs="宋体"/>
          <w:b/>
          <w:u w:val="single"/>
        </w:rPr>
        <w:t xml:space="preserve"> 双方另行确定  </w:t>
      </w:r>
      <w:r>
        <w:rPr>
          <w:rFonts w:hint="eastAsia" w:ascii="宋体" w:hAnsi="宋体" w:cs="宋体"/>
          <w:u w:val="single"/>
        </w:rPr>
        <w:t xml:space="preserve">  </w:t>
      </w:r>
      <w:r>
        <w:rPr>
          <w:rFonts w:hint="eastAsia" w:ascii="宋体" w:hAnsi="宋体" w:cs="宋体"/>
        </w:rPr>
        <w:t>。</w:t>
      </w:r>
    </w:p>
    <w:p>
      <w:pPr>
        <w:spacing w:line="276" w:lineRule="auto"/>
        <w:ind w:firstLine="420" w:firstLineChars="200"/>
        <w:rPr>
          <w:rFonts w:ascii="宋体" w:hAnsi="宋体" w:cs="宋体"/>
          <w:u w:val="single"/>
        </w:rPr>
      </w:pPr>
      <w:r>
        <w:rPr>
          <w:rFonts w:hint="eastAsia" w:ascii="宋体" w:hAnsi="宋体" w:cs="宋体"/>
        </w:rPr>
        <w:t>（5）因发包人违反合同约定造成暂停施工的违约责任：</w:t>
      </w:r>
      <w:r>
        <w:rPr>
          <w:rFonts w:hint="eastAsia" w:ascii="宋体" w:hAnsi="宋体" w:cs="宋体"/>
          <w:b/>
          <w:u w:val="single"/>
        </w:rPr>
        <w:t>工期可顺延，承包人不得提出其它异议和索赔</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（6）发包人无正当理由没有在约定期限内发出复工指示，导致承包人无法复工的违约责任：</w:t>
      </w:r>
      <w:r>
        <w:rPr>
          <w:rFonts w:hint="eastAsia" w:ascii="宋体" w:hAnsi="宋体" w:cs="宋体"/>
          <w:u w:val="single"/>
        </w:rPr>
        <w:t xml:space="preserve"> </w:t>
      </w:r>
      <w:r>
        <w:rPr>
          <w:rFonts w:hint="eastAsia" w:ascii="宋体" w:hAnsi="宋体" w:cs="宋体"/>
          <w:b/>
          <w:u w:val="single"/>
        </w:rPr>
        <w:t>工期可顺延，承包人不得提出其它异议和索赔</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（7）其他：</w:t>
      </w:r>
      <w:r>
        <w:rPr>
          <w:rFonts w:hint="eastAsia" w:ascii="宋体" w:hAnsi="宋体" w:cs="宋体"/>
          <w:u w:val="single"/>
        </w:rPr>
        <w:t xml:space="preserve">       /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16.1.3 因发包人违约解除合同</w:t>
      </w:r>
    </w:p>
    <w:p>
      <w:pPr>
        <w:autoSpaceDE w:val="0"/>
        <w:autoSpaceDN w:val="0"/>
        <w:adjustRightInd w:val="0"/>
        <w:spacing w:line="276" w:lineRule="auto"/>
        <w:ind w:firstLine="420" w:firstLineChars="200"/>
        <w:rPr>
          <w:rFonts w:ascii="宋体" w:hAnsi="宋体" w:cs="宋体"/>
        </w:rPr>
      </w:pPr>
      <w:r>
        <w:rPr>
          <w:rFonts w:hint="eastAsia" w:ascii="宋体" w:hAnsi="宋体" w:cs="宋体"/>
        </w:rPr>
        <w:t>承包人按16.1.1项〔发包人违约的情形〕约定暂停施工满</w:t>
      </w:r>
      <w:r>
        <w:rPr>
          <w:rFonts w:hint="eastAsia" w:ascii="宋体" w:hAnsi="宋体" w:cs="宋体"/>
          <w:u w:val="single"/>
        </w:rPr>
        <w:t>365</w:t>
      </w:r>
      <w:r>
        <w:rPr>
          <w:rFonts w:hint="eastAsia" w:ascii="宋体" w:hAnsi="宋体" w:cs="宋体"/>
        </w:rPr>
        <w:t>天后发包人仍不纠正其违约行为并致使合同目的不能实现的，承包人有权解除合同。</w:t>
      </w:r>
    </w:p>
    <w:p>
      <w:pPr>
        <w:spacing w:after="120" w:line="276" w:lineRule="auto"/>
        <w:ind w:firstLine="420" w:firstLineChars="200"/>
        <w:rPr>
          <w:rFonts w:ascii="宋体" w:hAnsi="宋体" w:cs="宋体"/>
        </w:rPr>
      </w:pPr>
      <w:r>
        <w:rPr>
          <w:rFonts w:hint="eastAsia" w:ascii="宋体" w:hAnsi="宋体" w:cs="宋体"/>
        </w:rPr>
        <w:t>16.2 承包人违约</w:t>
      </w:r>
    </w:p>
    <w:p>
      <w:pPr>
        <w:spacing w:line="276" w:lineRule="auto"/>
        <w:ind w:firstLine="420" w:firstLineChars="200"/>
        <w:rPr>
          <w:rFonts w:ascii="宋体" w:hAnsi="宋体" w:cs="宋体"/>
        </w:rPr>
      </w:pPr>
      <w:r>
        <w:rPr>
          <w:rFonts w:hint="eastAsia" w:ascii="宋体" w:hAnsi="宋体" w:cs="宋体"/>
        </w:rPr>
        <w:t>16.2.1 承包人违约的情形：</w:t>
      </w:r>
      <w:r>
        <w:rPr>
          <w:rFonts w:hint="eastAsia" w:ascii="宋体" w:hAnsi="宋体" w:cs="宋体"/>
          <w:u w:val="single"/>
        </w:rPr>
        <w:t>按通用条款执行</w:t>
      </w:r>
      <w:r>
        <w:rPr>
          <w:rFonts w:hint="eastAsia" w:ascii="宋体" w:hAnsi="宋体" w:cs="宋体"/>
        </w:rPr>
        <w:t>。</w:t>
      </w:r>
    </w:p>
    <w:p>
      <w:pPr>
        <w:spacing w:line="276" w:lineRule="auto"/>
        <w:ind w:firstLine="420" w:firstLineChars="200"/>
        <w:rPr>
          <w:rFonts w:ascii="宋体" w:hAnsi="宋体" w:cs="宋体"/>
          <w:u w:val="single"/>
        </w:rPr>
      </w:pPr>
      <w:r>
        <w:rPr>
          <w:rFonts w:hint="eastAsia" w:ascii="宋体" w:hAnsi="宋体" w:cs="宋体"/>
        </w:rPr>
        <w:t>承包人违约的其他情形：</w:t>
      </w:r>
      <w:r>
        <w:rPr>
          <w:rFonts w:hint="eastAsia" w:ascii="宋体" w:hAnsi="宋体" w:cs="宋体"/>
          <w:u w:val="single"/>
        </w:rPr>
        <w:t xml:space="preserve">  双方另行确定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16.2.2承包人违约的责任</w:t>
      </w:r>
    </w:p>
    <w:p>
      <w:pPr>
        <w:spacing w:line="276" w:lineRule="auto"/>
        <w:ind w:firstLine="420" w:firstLineChars="200"/>
        <w:rPr>
          <w:rFonts w:ascii="宋体" w:hAnsi="宋体" w:cs="宋体"/>
        </w:rPr>
      </w:pPr>
      <w:r>
        <w:rPr>
          <w:rFonts w:hint="eastAsia" w:ascii="宋体" w:hAnsi="宋体" w:cs="宋体"/>
        </w:rPr>
        <w:t>承包人违约责任的承担方式和计算方法：</w:t>
      </w:r>
      <w:r>
        <w:rPr>
          <w:rFonts w:hint="eastAsia" w:ascii="宋体" w:hAnsi="宋体" w:cs="宋体"/>
          <w:b/>
        </w:rPr>
        <w:t>由</w:t>
      </w:r>
      <w:r>
        <w:rPr>
          <w:rFonts w:hint="eastAsia" w:ascii="宋体" w:hAnsi="宋体" w:cs="宋体"/>
          <w:b/>
          <w:u w:val="single"/>
        </w:rPr>
        <w:t xml:space="preserve">承包人承担全部费用并承担相关法律责任 </w:t>
      </w:r>
      <w:r>
        <w:rPr>
          <w:rFonts w:hint="eastAsia" w:ascii="宋体" w:hAnsi="宋体" w:cs="宋体"/>
        </w:rPr>
        <w:t xml:space="preserve">。    </w:t>
      </w:r>
    </w:p>
    <w:p>
      <w:pPr>
        <w:spacing w:line="276" w:lineRule="auto"/>
        <w:ind w:firstLine="420" w:firstLineChars="200"/>
        <w:rPr>
          <w:rFonts w:ascii="宋体" w:hAnsi="宋体" w:cs="宋体"/>
        </w:rPr>
      </w:pPr>
      <w:r>
        <w:rPr>
          <w:rFonts w:hint="eastAsia" w:ascii="宋体" w:hAnsi="宋体" w:cs="宋体"/>
        </w:rPr>
        <w:t>16.2.3 因承包人违约解除合同</w:t>
      </w:r>
    </w:p>
    <w:p>
      <w:pPr>
        <w:spacing w:before="120" w:after="120" w:line="276" w:lineRule="auto"/>
        <w:ind w:firstLine="420" w:firstLineChars="200"/>
        <w:rPr>
          <w:rFonts w:ascii="宋体" w:hAnsi="宋体" w:cs="宋体"/>
          <w:u w:val="single"/>
        </w:rPr>
      </w:pPr>
      <w:r>
        <w:rPr>
          <w:rFonts w:hint="eastAsia" w:ascii="宋体" w:hAnsi="宋体" w:cs="宋体"/>
        </w:rPr>
        <w:t>关于承包人违约解除合同的特别约定：</w:t>
      </w:r>
      <w:r>
        <w:rPr>
          <w:rFonts w:hint="eastAsia" w:ascii="宋体" w:hAnsi="宋体" w:cs="宋体"/>
          <w:u w:val="single"/>
        </w:rPr>
        <w:t xml:space="preserve">  按通用条款执行  </w:t>
      </w:r>
      <w:r>
        <w:rPr>
          <w:rFonts w:hint="eastAsia" w:ascii="宋体" w:hAnsi="宋体" w:cs="宋体"/>
        </w:rPr>
        <w:t>。</w:t>
      </w:r>
    </w:p>
    <w:p>
      <w:pPr>
        <w:spacing w:before="120" w:after="120" w:line="276" w:lineRule="auto"/>
        <w:ind w:firstLine="420" w:firstLineChars="200"/>
        <w:rPr>
          <w:rFonts w:ascii="宋体" w:hAnsi="宋体" w:cs="宋体"/>
        </w:rPr>
      </w:pPr>
      <w:r>
        <w:rPr>
          <w:rFonts w:hint="eastAsia" w:ascii="宋体" w:hAnsi="宋体" w:cs="宋体"/>
        </w:rPr>
        <w:t>发包人继续使用承包人在施工现场的材料、设备、临时工程、承包人文件和由承包人或以其名义编制的其他文件的费用承担方式：</w:t>
      </w:r>
      <w:r>
        <w:rPr>
          <w:rFonts w:hint="eastAsia" w:ascii="宋体" w:hAnsi="宋体" w:cs="宋体"/>
          <w:u w:val="single"/>
        </w:rPr>
        <w:t xml:space="preserve">    由承包人承担  。</w:t>
      </w:r>
    </w:p>
    <w:p>
      <w:pPr>
        <w:pStyle w:val="5"/>
        <w:spacing w:line="276" w:lineRule="auto"/>
        <w:rPr>
          <w:rFonts w:ascii="宋体" w:hAnsi="宋体" w:cs="宋体"/>
          <w:b w:val="0"/>
          <w:sz w:val="24"/>
          <w:szCs w:val="24"/>
        </w:rPr>
      </w:pPr>
      <w:bookmarkStart w:id="360" w:name="_Toc351203649"/>
      <w:r>
        <w:rPr>
          <w:rFonts w:hint="eastAsia" w:ascii="宋体" w:hAnsi="宋体" w:cs="宋体"/>
          <w:b w:val="0"/>
          <w:sz w:val="24"/>
          <w:szCs w:val="24"/>
        </w:rPr>
        <w:t>17. 不可抗力</w:t>
      </w:r>
      <w:bookmarkEnd w:id="360"/>
      <w:r>
        <w:rPr>
          <w:rFonts w:hint="eastAsia" w:ascii="宋体" w:hAnsi="宋体" w:cs="宋体"/>
          <w:b w:val="0"/>
          <w:sz w:val="24"/>
          <w:szCs w:val="24"/>
        </w:rPr>
        <w:t xml:space="preserve"> </w:t>
      </w:r>
      <w:bookmarkEnd w:id="358"/>
    </w:p>
    <w:p>
      <w:pPr>
        <w:spacing w:after="120" w:line="276" w:lineRule="auto"/>
        <w:ind w:firstLine="420" w:firstLineChars="200"/>
        <w:rPr>
          <w:rFonts w:ascii="宋体" w:hAnsi="宋体" w:cs="宋体"/>
        </w:rPr>
      </w:pPr>
      <w:r>
        <w:rPr>
          <w:rFonts w:hint="eastAsia" w:ascii="宋体" w:hAnsi="宋体" w:cs="宋体"/>
        </w:rPr>
        <w:t>17.1 不可抗力的确认</w:t>
      </w:r>
    </w:p>
    <w:p>
      <w:pPr>
        <w:spacing w:line="276" w:lineRule="auto"/>
        <w:ind w:firstLine="420" w:firstLineChars="200"/>
        <w:rPr>
          <w:rFonts w:ascii="宋体" w:hAnsi="宋体" w:cs="宋体"/>
          <w:u w:val="single"/>
        </w:rPr>
      </w:pPr>
      <w:r>
        <w:rPr>
          <w:rFonts w:hint="eastAsia" w:ascii="宋体" w:hAnsi="宋体" w:cs="宋体"/>
        </w:rPr>
        <w:t>除通用合同条款约定的不可抗力事件之外，视为不可抗力的其他情形：</w:t>
      </w:r>
      <w:r>
        <w:rPr>
          <w:rFonts w:hint="eastAsia" w:ascii="宋体" w:hAnsi="宋体" w:cs="宋体"/>
          <w:u w:val="single"/>
        </w:rPr>
        <w:t xml:space="preserve"> / </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17.4 因不可抗力解除合同</w:t>
      </w:r>
    </w:p>
    <w:p>
      <w:pPr>
        <w:spacing w:line="276" w:lineRule="auto"/>
        <w:ind w:firstLine="420" w:firstLineChars="200"/>
        <w:rPr>
          <w:rFonts w:ascii="宋体" w:hAnsi="宋体" w:cs="宋体"/>
        </w:rPr>
      </w:pPr>
      <w:r>
        <w:rPr>
          <w:rFonts w:hint="eastAsia" w:ascii="宋体" w:hAnsi="宋体" w:cs="宋体"/>
        </w:rPr>
        <w:t>合同解除后，发包人应在商定或确定发包人应支付款项后</w:t>
      </w:r>
      <w:r>
        <w:rPr>
          <w:rFonts w:hint="eastAsia" w:ascii="宋体" w:hAnsi="宋体" w:cs="宋体"/>
          <w:b/>
          <w:u w:val="single"/>
        </w:rPr>
        <w:t>60</w:t>
      </w:r>
      <w:r>
        <w:rPr>
          <w:rFonts w:hint="eastAsia" w:ascii="宋体" w:hAnsi="宋体" w:cs="宋体"/>
        </w:rPr>
        <w:t>天内完成款项的支付。</w:t>
      </w:r>
    </w:p>
    <w:p>
      <w:pPr>
        <w:pStyle w:val="5"/>
        <w:spacing w:line="276" w:lineRule="auto"/>
        <w:rPr>
          <w:rFonts w:ascii="宋体" w:hAnsi="宋体" w:cs="宋体"/>
          <w:b w:val="0"/>
          <w:sz w:val="24"/>
          <w:szCs w:val="24"/>
        </w:rPr>
      </w:pPr>
      <w:bookmarkStart w:id="361" w:name="_Toc351203650"/>
      <w:r>
        <w:rPr>
          <w:rFonts w:hint="eastAsia" w:ascii="宋体" w:hAnsi="宋体" w:cs="宋体"/>
          <w:b w:val="0"/>
          <w:sz w:val="24"/>
          <w:szCs w:val="24"/>
        </w:rPr>
        <w:t>18. 保险</w:t>
      </w:r>
      <w:bookmarkEnd w:id="361"/>
    </w:p>
    <w:bookmarkEnd w:id="359"/>
    <w:p>
      <w:pPr>
        <w:spacing w:after="120" w:line="276" w:lineRule="auto"/>
        <w:ind w:firstLine="420" w:firstLineChars="200"/>
        <w:rPr>
          <w:rFonts w:ascii="宋体" w:hAnsi="宋体" w:cs="宋体"/>
        </w:rPr>
      </w:pPr>
      <w:r>
        <w:rPr>
          <w:rFonts w:hint="eastAsia" w:ascii="宋体" w:hAnsi="宋体" w:cs="宋体"/>
        </w:rPr>
        <w:t>18.1 工程保险</w:t>
      </w:r>
    </w:p>
    <w:p>
      <w:pPr>
        <w:spacing w:line="276" w:lineRule="auto"/>
        <w:ind w:firstLine="420" w:firstLineChars="200"/>
        <w:rPr>
          <w:rFonts w:ascii="宋体" w:hAnsi="宋体" w:cs="宋体"/>
        </w:rPr>
      </w:pPr>
      <w:r>
        <w:rPr>
          <w:rFonts w:hint="eastAsia" w:ascii="宋体" w:hAnsi="宋体" w:cs="宋体"/>
        </w:rPr>
        <w:t>关于工程保险的特别约定：</w:t>
      </w:r>
      <w:r>
        <w:rPr>
          <w:rFonts w:hint="eastAsia" w:ascii="宋体" w:hAnsi="宋体" w:cs="宋体"/>
          <w:b/>
          <w:u w:val="single"/>
        </w:rPr>
        <w:t xml:space="preserve">  承包人负责办理建筑、安装工程一切险，并承担相应保险费用。</w:t>
      </w:r>
    </w:p>
    <w:p>
      <w:pPr>
        <w:spacing w:after="120" w:line="276" w:lineRule="auto"/>
        <w:ind w:firstLine="420" w:firstLineChars="200"/>
        <w:rPr>
          <w:rFonts w:ascii="宋体" w:hAnsi="宋体" w:cs="宋体"/>
        </w:rPr>
      </w:pPr>
      <w:r>
        <w:rPr>
          <w:rFonts w:hint="eastAsia" w:ascii="宋体" w:hAnsi="宋体" w:cs="宋体"/>
        </w:rPr>
        <w:t>18.3 其他保险</w:t>
      </w:r>
    </w:p>
    <w:p>
      <w:pPr>
        <w:spacing w:line="276" w:lineRule="auto"/>
        <w:ind w:firstLine="420" w:firstLineChars="200"/>
        <w:rPr>
          <w:rFonts w:ascii="宋体" w:hAnsi="宋体" w:cs="宋体"/>
          <w:u w:val="single"/>
        </w:rPr>
      </w:pPr>
      <w:r>
        <w:rPr>
          <w:rFonts w:hint="eastAsia" w:ascii="宋体" w:hAnsi="宋体" w:cs="宋体"/>
        </w:rPr>
        <w:t>关于其他保险的约定：</w:t>
      </w:r>
      <w:r>
        <w:rPr>
          <w:rFonts w:hint="eastAsia" w:ascii="宋体" w:hAnsi="宋体" w:cs="宋体"/>
          <w:u w:val="single"/>
        </w:rPr>
        <w:t>承包人负责所需的保险费用</w:t>
      </w:r>
      <w:r>
        <w:rPr>
          <w:rFonts w:hint="eastAsia" w:ascii="宋体" w:hAnsi="宋体" w:cs="宋体"/>
        </w:rPr>
        <w:t xml:space="preserve"> 。承包人是否应为其施工设备等办理财产保险：</w:t>
      </w:r>
      <w:r>
        <w:rPr>
          <w:rFonts w:hint="eastAsia" w:ascii="宋体" w:hAnsi="宋体" w:cs="宋体"/>
          <w:u w:val="single"/>
        </w:rPr>
        <w:t>由承包人依照相关政策规定执行</w:t>
      </w:r>
      <w:r>
        <w:rPr>
          <w:rFonts w:hint="eastAsia" w:ascii="宋体" w:hAnsi="宋体" w:cs="宋体"/>
        </w:rPr>
        <w:t xml:space="preserve"> 。</w:t>
      </w:r>
    </w:p>
    <w:p>
      <w:pPr>
        <w:spacing w:after="120" w:line="276" w:lineRule="auto"/>
        <w:ind w:firstLine="420" w:firstLineChars="200"/>
        <w:rPr>
          <w:rFonts w:ascii="宋体" w:hAnsi="宋体" w:cs="宋体"/>
        </w:rPr>
      </w:pPr>
      <w:r>
        <w:rPr>
          <w:rFonts w:hint="eastAsia" w:ascii="宋体" w:hAnsi="宋体" w:cs="宋体"/>
        </w:rPr>
        <w:t>18.7 通知义务</w:t>
      </w:r>
    </w:p>
    <w:p>
      <w:pPr>
        <w:spacing w:line="276" w:lineRule="auto"/>
        <w:ind w:firstLine="420" w:firstLineChars="200"/>
        <w:rPr>
          <w:rFonts w:ascii="宋体" w:hAnsi="宋体" w:cs="宋体"/>
        </w:rPr>
      </w:pPr>
      <w:r>
        <w:rPr>
          <w:rFonts w:hint="eastAsia" w:ascii="宋体" w:hAnsi="宋体" w:cs="宋体"/>
        </w:rPr>
        <w:t>关于变更保险合同时的通知义务的约定：</w:t>
      </w:r>
      <w:r>
        <w:rPr>
          <w:rFonts w:hint="eastAsia" w:ascii="宋体" w:hAnsi="宋体" w:cs="宋体"/>
          <w:u w:val="single"/>
        </w:rPr>
        <w:t xml:space="preserve">按通用条款执行 </w:t>
      </w:r>
      <w:r>
        <w:rPr>
          <w:rFonts w:hint="eastAsia" w:ascii="宋体" w:hAnsi="宋体" w:cs="宋体"/>
        </w:rPr>
        <w:t>。</w:t>
      </w:r>
    </w:p>
    <w:p>
      <w:pPr>
        <w:pStyle w:val="5"/>
        <w:spacing w:line="276" w:lineRule="auto"/>
        <w:rPr>
          <w:rFonts w:ascii="宋体" w:hAnsi="宋体" w:cs="宋体"/>
          <w:b w:val="0"/>
          <w:sz w:val="24"/>
          <w:szCs w:val="24"/>
        </w:rPr>
      </w:pPr>
      <w:bookmarkStart w:id="362" w:name="_Toc351203651"/>
      <w:r>
        <w:rPr>
          <w:rFonts w:hint="eastAsia" w:ascii="宋体" w:hAnsi="宋体" w:cs="宋体"/>
          <w:b w:val="0"/>
          <w:sz w:val="24"/>
          <w:szCs w:val="24"/>
        </w:rPr>
        <w:t>20. 争议解决</w:t>
      </w:r>
      <w:bookmarkEnd w:id="362"/>
    </w:p>
    <w:p>
      <w:pPr>
        <w:spacing w:after="120" w:line="276" w:lineRule="auto"/>
        <w:ind w:firstLine="420" w:firstLineChars="200"/>
        <w:rPr>
          <w:rFonts w:ascii="宋体" w:hAnsi="宋体" w:cs="宋体"/>
        </w:rPr>
      </w:pPr>
      <w:r>
        <w:rPr>
          <w:rFonts w:hint="eastAsia" w:ascii="宋体" w:hAnsi="宋体" w:cs="宋体"/>
        </w:rPr>
        <w:t>20.3 争议评审</w:t>
      </w:r>
    </w:p>
    <w:p>
      <w:pPr>
        <w:spacing w:line="276" w:lineRule="auto"/>
        <w:ind w:left="149" w:leftChars="71" w:firstLine="315" w:firstLineChars="150"/>
        <w:rPr>
          <w:rFonts w:ascii="宋体" w:hAnsi="宋体" w:cs="宋体"/>
          <w:u w:val="single"/>
        </w:rPr>
      </w:pPr>
      <w:r>
        <w:rPr>
          <w:rFonts w:hint="eastAsia" w:ascii="宋体" w:hAnsi="宋体" w:cs="宋体"/>
        </w:rPr>
        <w:t>合同当事人是否同意将工程争议提交争议评审小组决定：</w:t>
      </w:r>
      <w:r>
        <w:rPr>
          <w:rFonts w:hint="eastAsia" w:ascii="宋体" w:hAnsi="宋体" w:cs="宋体"/>
          <w:u w:val="single"/>
        </w:rPr>
        <w:t xml:space="preserve">如有，双方协商解决  </w:t>
      </w:r>
      <w:r>
        <w:rPr>
          <w:rFonts w:hint="eastAsia" w:ascii="宋体" w:hAnsi="宋体" w:cs="宋体"/>
        </w:rPr>
        <w:t xml:space="preserve">。  </w:t>
      </w:r>
    </w:p>
    <w:p>
      <w:pPr>
        <w:spacing w:line="276" w:lineRule="auto"/>
        <w:ind w:firstLine="420" w:firstLineChars="200"/>
        <w:rPr>
          <w:rFonts w:ascii="宋体" w:hAnsi="宋体" w:cs="宋体"/>
        </w:rPr>
      </w:pPr>
      <w:r>
        <w:rPr>
          <w:rFonts w:hint="eastAsia" w:ascii="宋体" w:hAnsi="宋体" w:cs="宋体"/>
        </w:rPr>
        <w:t>20.3.1 争议评审小组的确定</w:t>
      </w:r>
    </w:p>
    <w:p>
      <w:pPr>
        <w:spacing w:line="276" w:lineRule="auto"/>
        <w:ind w:firstLine="420" w:firstLineChars="200"/>
        <w:rPr>
          <w:rFonts w:ascii="宋体" w:hAnsi="宋体" w:cs="宋体"/>
          <w:u w:val="single"/>
        </w:rPr>
      </w:pPr>
      <w:r>
        <w:rPr>
          <w:rFonts w:hint="eastAsia" w:ascii="宋体" w:hAnsi="宋体" w:cs="宋体"/>
        </w:rPr>
        <w:t>争议评审小组成员的确定：</w:t>
      </w:r>
      <w:r>
        <w:rPr>
          <w:rFonts w:hint="eastAsia" w:ascii="宋体" w:hAnsi="宋体" w:cs="宋体"/>
          <w:u w:val="single"/>
        </w:rPr>
        <w:t xml:space="preserve">    如有，双方协商解决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选定争议评审员的期限：</w:t>
      </w:r>
      <w:r>
        <w:rPr>
          <w:rFonts w:hint="eastAsia" w:ascii="宋体" w:hAnsi="宋体" w:cs="宋体"/>
          <w:u w:val="single"/>
        </w:rPr>
        <w:t xml:space="preserve">    如有，双方协商解决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争议评审小组成员的报酬承担方式：</w:t>
      </w:r>
      <w:r>
        <w:rPr>
          <w:rFonts w:hint="eastAsia" w:ascii="宋体" w:hAnsi="宋体" w:cs="宋体"/>
          <w:u w:val="single"/>
        </w:rPr>
        <w:t xml:space="preserve">  如有，双方协商解决     </w:t>
      </w:r>
      <w:r>
        <w:rPr>
          <w:rFonts w:hint="eastAsia" w:ascii="宋体" w:hAnsi="宋体" w:cs="宋体"/>
        </w:rPr>
        <w:t>。</w:t>
      </w:r>
    </w:p>
    <w:p>
      <w:pPr>
        <w:spacing w:line="276" w:lineRule="auto"/>
        <w:ind w:firstLine="420" w:firstLineChars="200"/>
        <w:rPr>
          <w:rFonts w:ascii="宋体" w:hAnsi="宋体" w:cs="宋体"/>
        </w:rPr>
      </w:pPr>
      <w:r>
        <w:rPr>
          <w:rFonts w:hint="eastAsia" w:ascii="宋体" w:hAnsi="宋体" w:cs="宋体"/>
        </w:rPr>
        <w:t>其他事项的约定：</w:t>
      </w:r>
      <w:r>
        <w:rPr>
          <w:rFonts w:hint="eastAsia" w:ascii="宋体" w:hAnsi="宋体" w:cs="宋体"/>
          <w:u w:val="single"/>
        </w:rPr>
        <w:t xml:space="preserve">  如有，双方协商解决 </w:t>
      </w:r>
      <w:r>
        <w:rPr>
          <w:rFonts w:hint="eastAsia" w:ascii="宋体" w:hAnsi="宋体" w:cs="宋体"/>
        </w:rPr>
        <w:t>。</w:t>
      </w:r>
    </w:p>
    <w:p>
      <w:pPr>
        <w:autoSpaceDE w:val="0"/>
        <w:autoSpaceDN w:val="0"/>
        <w:adjustRightInd w:val="0"/>
        <w:spacing w:line="276" w:lineRule="auto"/>
        <w:ind w:firstLine="420" w:firstLineChars="200"/>
        <w:rPr>
          <w:rFonts w:ascii="宋体" w:hAnsi="宋体" w:cs="宋体"/>
        </w:rPr>
      </w:pPr>
      <w:r>
        <w:rPr>
          <w:rFonts w:hint="eastAsia" w:ascii="宋体" w:hAnsi="宋体" w:cs="宋体"/>
        </w:rPr>
        <w:t>20.3.2 争议评审小组的决定</w:t>
      </w:r>
    </w:p>
    <w:p>
      <w:pPr>
        <w:spacing w:line="276" w:lineRule="auto"/>
        <w:ind w:firstLine="420" w:firstLineChars="200"/>
        <w:rPr>
          <w:rFonts w:ascii="宋体" w:hAnsi="宋体" w:cs="宋体"/>
        </w:rPr>
      </w:pPr>
      <w:r>
        <w:rPr>
          <w:rFonts w:hint="eastAsia" w:ascii="宋体" w:hAnsi="宋体" w:cs="宋体"/>
        </w:rPr>
        <w:t>合同当事人关于本项的约定：</w:t>
      </w:r>
      <w:r>
        <w:rPr>
          <w:rFonts w:hint="eastAsia" w:ascii="宋体" w:hAnsi="宋体" w:cs="宋体"/>
          <w:u w:val="single"/>
        </w:rPr>
        <w:t xml:space="preserve">如有，双方协商解决  </w:t>
      </w:r>
      <w:r>
        <w:rPr>
          <w:rFonts w:hint="eastAsia" w:ascii="宋体" w:hAnsi="宋体" w:cs="宋体"/>
        </w:rPr>
        <w:t>。</w:t>
      </w:r>
    </w:p>
    <w:p>
      <w:pPr>
        <w:spacing w:after="120" w:line="276" w:lineRule="auto"/>
        <w:ind w:firstLine="420" w:firstLineChars="200"/>
        <w:rPr>
          <w:rFonts w:ascii="宋体" w:hAnsi="宋体" w:cs="宋体"/>
        </w:rPr>
      </w:pPr>
      <w:r>
        <w:rPr>
          <w:rFonts w:hint="eastAsia" w:ascii="宋体" w:hAnsi="宋体" w:cs="宋体"/>
        </w:rPr>
        <w:t>20.4仲裁或诉讼</w:t>
      </w:r>
    </w:p>
    <w:p>
      <w:pPr>
        <w:spacing w:after="120" w:line="276" w:lineRule="auto"/>
        <w:ind w:firstLine="420" w:firstLineChars="200"/>
        <w:rPr>
          <w:rFonts w:ascii="宋体" w:hAnsi="宋体" w:cs="宋体"/>
        </w:rPr>
      </w:pPr>
      <w:r>
        <w:rPr>
          <w:rFonts w:hint="eastAsia" w:ascii="宋体" w:hAnsi="宋体" w:cs="宋体"/>
        </w:rPr>
        <w:t>因合同及合同有关事项发生的争议，按下列第</w:t>
      </w:r>
      <w:r>
        <w:rPr>
          <w:rFonts w:hint="eastAsia" w:ascii="宋体" w:hAnsi="宋体" w:cs="宋体"/>
          <w:u w:val="single"/>
        </w:rPr>
        <w:t xml:space="preserve">  2  </w:t>
      </w:r>
      <w:r>
        <w:rPr>
          <w:rFonts w:hint="eastAsia" w:ascii="宋体" w:hAnsi="宋体" w:cs="宋体"/>
        </w:rPr>
        <w:t>种方式解决：</w:t>
      </w:r>
    </w:p>
    <w:p>
      <w:pPr>
        <w:spacing w:line="276" w:lineRule="auto"/>
        <w:ind w:firstLine="420" w:firstLineChars="200"/>
        <w:rPr>
          <w:rFonts w:ascii="宋体" w:hAnsi="宋体" w:cs="宋体"/>
        </w:rPr>
      </w:pPr>
      <w:r>
        <w:rPr>
          <w:rFonts w:hint="eastAsia" w:ascii="宋体" w:hAnsi="宋体" w:cs="宋体"/>
        </w:rPr>
        <w:t>（1）向</w:t>
      </w:r>
      <w:r>
        <w:rPr>
          <w:rFonts w:hint="eastAsia" w:ascii="宋体" w:hAnsi="宋体" w:cs="宋体"/>
          <w:u w:val="single"/>
        </w:rPr>
        <w:t xml:space="preserve"> / </w:t>
      </w:r>
      <w:r>
        <w:rPr>
          <w:rFonts w:hint="eastAsia" w:ascii="宋体" w:hAnsi="宋体" w:cs="宋体"/>
        </w:rPr>
        <w:t>仲裁委员会申请仲裁；</w:t>
      </w:r>
    </w:p>
    <w:p>
      <w:pPr>
        <w:spacing w:line="276" w:lineRule="auto"/>
        <w:ind w:firstLine="420" w:firstLineChars="200"/>
        <w:rPr>
          <w:rFonts w:ascii="宋体" w:hAnsi="宋体" w:cs="宋体"/>
        </w:rPr>
      </w:pPr>
      <w:r>
        <w:rPr>
          <w:rFonts w:hint="eastAsia" w:ascii="宋体" w:hAnsi="宋体" w:cs="宋体"/>
        </w:rPr>
        <w:t>（2）向</w:t>
      </w:r>
      <w:r>
        <w:rPr>
          <w:rFonts w:hint="eastAsia" w:ascii="宋体" w:hAnsi="宋体" w:cs="宋体"/>
          <w:u w:val="single"/>
        </w:rPr>
        <w:t xml:space="preserve">   </w:t>
      </w:r>
      <w:r>
        <w:rPr>
          <w:rFonts w:hint="eastAsia" w:ascii="宋体" w:hAnsi="宋体" w:cs="宋体"/>
          <w:b/>
          <w:u w:val="single"/>
        </w:rPr>
        <w:t xml:space="preserve">工程所在地有管辖权的  </w:t>
      </w:r>
      <w:r>
        <w:rPr>
          <w:rFonts w:hint="eastAsia" w:ascii="宋体" w:hAnsi="宋体" w:cs="宋体"/>
        </w:rPr>
        <w:t>人民法院起诉。</w:t>
      </w:r>
    </w:p>
    <w:p>
      <w:pPr>
        <w:spacing w:line="276" w:lineRule="auto"/>
        <w:ind w:firstLine="420" w:firstLineChars="200"/>
        <w:rPr>
          <w:rFonts w:ascii="宋体" w:hAnsi="宋体" w:cs="宋体"/>
        </w:rPr>
      </w:pPr>
    </w:p>
    <w:p>
      <w:pPr>
        <w:spacing w:line="276" w:lineRule="auto"/>
        <w:ind w:firstLine="420" w:firstLineChars="200"/>
        <w:rPr>
          <w:rFonts w:eastAsia="黑体"/>
          <w:sz w:val="24"/>
        </w:rPr>
      </w:pPr>
      <w:r>
        <w:rPr>
          <w:rFonts w:hint="eastAsia" w:ascii="宋体" w:hAnsi="宋体" w:cs="宋体"/>
        </w:rPr>
        <w:t>21、补充条款：</w:t>
      </w:r>
    </w:p>
    <w:p>
      <w:pPr>
        <w:spacing w:line="276" w:lineRule="auto"/>
        <w:ind w:firstLine="420" w:firstLineChars="200"/>
        <w:rPr>
          <w:rFonts w:ascii="宋体" w:hAnsi="宋体" w:cs="宋体"/>
          <w:b/>
        </w:rPr>
      </w:pPr>
      <w:r>
        <w:rPr>
          <w:rFonts w:hint="eastAsia" w:ascii="宋体" w:hAnsi="宋体" w:cs="宋体"/>
        </w:rPr>
        <w:t>21.1</w:t>
      </w:r>
      <w:r>
        <w:rPr>
          <w:rFonts w:hint="eastAsia" w:ascii="宋体" w:hAnsi="宋体" w:cs="宋体"/>
          <w:b/>
        </w:rPr>
        <w:t>本工程验收所产生的所有费用由承包人承担。</w:t>
      </w:r>
    </w:p>
    <w:p>
      <w:pPr>
        <w:spacing w:line="276" w:lineRule="auto"/>
        <w:ind w:firstLine="420" w:firstLineChars="200"/>
        <w:rPr>
          <w:rFonts w:ascii="宋体" w:hAnsi="宋体" w:cs="宋体"/>
          <w:b/>
        </w:rPr>
      </w:pPr>
      <w:r>
        <w:rPr>
          <w:rFonts w:hint="eastAsia" w:ascii="宋体" w:hAnsi="宋体" w:cs="宋体"/>
          <w:bCs/>
        </w:rPr>
        <w:t>2.1.2</w:t>
      </w:r>
      <w:r>
        <w:rPr>
          <w:rFonts w:hint="eastAsia" w:ascii="宋体" w:hAnsi="宋体" w:cs="宋体"/>
          <w:b/>
        </w:rPr>
        <w:t xml:space="preserve">承包人在消防施工过程按国家行政主管部门要求的各项分项验收必须及时完成，如因此引起的消防竣工验收延误，承包人承担违约责任，发包人由此产生的相关经济损失承包人负责赔偿。  </w:t>
      </w:r>
    </w:p>
    <w:p>
      <w:pPr>
        <w:spacing w:line="276" w:lineRule="auto"/>
        <w:rPr>
          <w:rFonts w:ascii="宋体" w:hAnsi="宋体" w:cs="宋体"/>
          <w:b/>
          <w:bCs/>
        </w:rPr>
      </w:pPr>
      <w:r>
        <w:rPr>
          <w:rFonts w:hint="eastAsia" w:ascii="宋体" w:hAnsi="宋体" w:cs="宋体"/>
          <w:b/>
        </w:rPr>
        <w:t xml:space="preserve">    21.3</w:t>
      </w:r>
      <w:r>
        <w:rPr>
          <w:rFonts w:hint="eastAsia" w:ascii="宋体" w:hAnsi="宋体" w:cs="宋体"/>
          <w:b/>
          <w:bCs/>
        </w:rPr>
        <w:t>承包人采购材料设备的约定:（1）</w:t>
      </w:r>
      <w:r>
        <w:rPr>
          <w:rFonts w:hint="eastAsia" w:ascii="宋体" w:hAnsi="宋体" w:cs="宋体"/>
          <w:b/>
          <w:bCs/>
          <w:color w:val="FF0000"/>
        </w:rPr>
        <w:t>本工程主要设备、材料品牌的约定：海湾GST、中消CFE、青鸟消防、国泰GUOTAI、航天常兴、依爱。</w:t>
      </w:r>
      <w:r>
        <w:rPr>
          <w:rFonts w:hint="eastAsia" w:ascii="宋体" w:hAnsi="宋体" w:cs="宋体"/>
          <w:b/>
        </w:rPr>
        <w:t>（2）承包人应保证建筑设备、材料（简称设备或材料）符合设计文件、招标文件和规范要求，并应向发包人提供产品合格证明和检验资料，因设备、材料质量引起的工程质量问题由承包人承担所造成的一切经济损失和工期损失；（3）承包人采购的设备、材料等应符合国家及行业相关标准，并按相关规范要求送检，同时发包人保留随时抽检的权利，承包人应积极配合发包人完成随机抽检任务；同时承包人采购的关于电力方面的设备、材料时，应符合项目所在地消防部门相关规定要求。（4）材料现场抽检如不合格，则该批材料均被认为不合格，且由承包人自行撤离出现场，发包人同时将扣除承包人该批材料10%价款；（4）如发包人对该部分材料的质量有异议，有权提出停止使用的要求，承包人必须服从该要求。该部分材料经权威检验部门鉴定确有质量问题，由此而发生的一切费用由承包人自负；（5）</w:t>
      </w:r>
      <w:r>
        <w:rPr>
          <w:rFonts w:hint="eastAsia" w:ascii="宋体" w:hAnsi="宋体" w:cs="宋体"/>
          <w:b/>
          <w:bCs/>
        </w:rPr>
        <w:t>发包人工程师发现乙方采购并使用不符合设计和标准要求的材料和设备时，承包人负责修复、拆除或重新采购，并承担因此发生的费用和造成的损失，由此延误的工期不予顺延。</w:t>
      </w:r>
      <w:bookmarkStart w:id="363" w:name="_Toc351203652"/>
    </w:p>
    <w:p>
      <w:pPr>
        <w:spacing w:line="276" w:lineRule="auto"/>
        <w:ind w:firstLine="420" w:firstLineChars="200"/>
        <w:rPr>
          <w:rFonts w:ascii="宋体" w:hAnsi="宋体" w:cs="宋体"/>
        </w:rPr>
      </w:pPr>
      <w:r>
        <w:rPr>
          <w:rFonts w:hint="eastAsia" w:ascii="宋体" w:hAnsi="宋体" w:cs="宋体"/>
        </w:rPr>
        <w:t>21.4承包人应严格按建设工程合同及经发包人批准的工程进度计划组织施工，承包人所施工工程内容全部完成并经验收移交，对工期进行最终考核，总施工工期合同工期滞后，</w:t>
      </w:r>
      <w:r>
        <w:rPr>
          <w:rFonts w:hint="eastAsia" w:ascii="宋体" w:hAnsi="宋体" w:cs="宋体"/>
          <w:b/>
        </w:rPr>
        <w:t>承包人向发包人支付合同金额的千分之一的违约金；工程延期15日以上的，每日按合同总价款千分之二向发包人支付违约金；延期竣工30日以上的，发包人有权解除合同，没收全部履约担保，并承担由此而对发包人产生的一切损失</w:t>
      </w:r>
      <w:r>
        <w:rPr>
          <w:rFonts w:hint="eastAsia" w:ascii="宋体" w:hAnsi="宋体" w:cs="宋体"/>
        </w:rPr>
        <w:t>。</w:t>
      </w:r>
    </w:p>
    <w:p>
      <w:pPr>
        <w:snapToGrid w:val="0"/>
        <w:spacing w:line="276" w:lineRule="auto"/>
        <w:ind w:firstLine="420" w:firstLineChars="200"/>
        <w:rPr>
          <w:rFonts w:ascii="宋体" w:hAnsi="宋体" w:cs="宋体"/>
        </w:rPr>
      </w:pPr>
      <w:r>
        <w:rPr>
          <w:rFonts w:hint="eastAsia" w:ascii="宋体" w:hAnsi="宋体" w:cs="宋体"/>
        </w:rPr>
        <w:t>21.5因施工原因造成工程质量问题的，承包人必须负责无偿返工。造成重大质量问题，承包人除无偿返工、承担给发包人造成的损失及建设主管部门处罚外，承包人将向发包人承担5000～10000元/次的违约金。</w:t>
      </w:r>
    </w:p>
    <w:p>
      <w:pPr>
        <w:snapToGrid w:val="0"/>
        <w:spacing w:line="276" w:lineRule="auto"/>
        <w:ind w:firstLine="420" w:firstLineChars="200"/>
        <w:rPr>
          <w:rFonts w:ascii="宋体" w:hAnsi="宋体" w:cs="宋体"/>
        </w:rPr>
      </w:pPr>
      <w:r>
        <w:rPr>
          <w:rFonts w:hint="eastAsia" w:ascii="宋体" w:hAnsi="宋体" w:cs="宋体"/>
        </w:rPr>
        <w:t>21.6承包人出现下列情况之一的，发包人有权单方面解除施工合同，或切割其承包的工程内容，解除合同或切割工程造成的损失由承包人承担。</w:t>
      </w:r>
    </w:p>
    <w:p>
      <w:pPr>
        <w:tabs>
          <w:tab w:val="left" w:pos="360"/>
        </w:tabs>
        <w:snapToGrid w:val="0"/>
        <w:spacing w:line="276" w:lineRule="auto"/>
        <w:ind w:firstLine="420" w:firstLineChars="200"/>
        <w:rPr>
          <w:rFonts w:ascii="宋体" w:hAnsi="宋体" w:cs="宋体"/>
        </w:rPr>
      </w:pPr>
      <w:r>
        <w:rPr>
          <w:rFonts w:hint="eastAsia" w:ascii="宋体" w:hAnsi="宋体" w:cs="宋体"/>
        </w:rPr>
        <w:t>(1)承包人将承包的工程进行转包或非法分包；</w:t>
      </w:r>
    </w:p>
    <w:p>
      <w:pPr>
        <w:snapToGrid w:val="0"/>
        <w:spacing w:line="276" w:lineRule="auto"/>
        <w:ind w:firstLine="420" w:firstLineChars="200"/>
        <w:rPr>
          <w:rFonts w:ascii="宋体" w:hAnsi="宋体" w:cs="宋体"/>
        </w:rPr>
      </w:pPr>
      <w:r>
        <w:rPr>
          <w:rFonts w:hint="eastAsia" w:ascii="宋体" w:hAnsi="宋体" w:cs="宋体"/>
        </w:rPr>
        <w:t>(2)未经批准擅自更换项目经理；</w:t>
      </w:r>
    </w:p>
    <w:p>
      <w:pPr>
        <w:snapToGrid w:val="0"/>
        <w:spacing w:line="276" w:lineRule="auto"/>
        <w:ind w:firstLine="420" w:firstLineChars="200"/>
        <w:rPr>
          <w:rFonts w:ascii="宋体" w:hAnsi="宋体" w:cs="宋体"/>
        </w:rPr>
      </w:pPr>
      <w:r>
        <w:rPr>
          <w:rFonts w:hint="eastAsia" w:ascii="宋体" w:hAnsi="宋体" w:cs="宋体"/>
        </w:rPr>
        <w:t>(3)项目经理连续一个月未按合同要求时间有效到位；</w:t>
      </w:r>
    </w:p>
    <w:p>
      <w:pPr>
        <w:snapToGrid w:val="0"/>
        <w:spacing w:line="276" w:lineRule="auto"/>
        <w:ind w:firstLine="420" w:firstLineChars="200"/>
        <w:rPr>
          <w:rFonts w:ascii="宋体" w:hAnsi="宋体" w:cs="宋体"/>
        </w:rPr>
      </w:pPr>
      <w:r>
        <w:rPr>
          <w:rFonts w:hint="eastAsia" w:ascii="宋体" w:hAnsi="宋体" w:cs="宋体"/>
        </w:rPr>
        <w:t>(4)工程具备开工条件后，因承包人原因造成开工时间超过发包人要求开工时间一周以上的；</w:t>
      </w:r>
    </w:p>
    <w:p>
      <w:pPr>
        <w:snapToGrid w:val="0"/>
        <w:spacing w:line="276" w:lineRule="auto"/>
        <w:ind w:firstLine="420" w:firstLineChars="200"/>
        <w:rPr>
          <w:rFonts w:ascii="宋体" w:hAnsi="宋体" w:cs="宋体"/>
        </w:rPr>
      </w:pPr>
      <w:r>
        <w:rPr>
          <w:rFonts w:hint="eastAsia" w:ascii="宋体" w:hAnsi="宋体" w:cs="宋体"/>
        </w:rPr>
        <w:t>(5)项目管理人员不到位、现场管理不力，造成工地施工管理混乱，文明施工达不到建设工程施工合同及规范要求，且不按要求整改的；</w:t>
      </w:r>
    </w:p>
    <w:p>
      <w:pPr>
        <w:snapToGrid w:val="0"/>
        <w:spacing w:line="276" w:lineRule="auto"/>
        <w:ind w:firstLine="420" w:firstLineChars="200"/>
        <w:rPr>
          <w:rFonts w:ascii="宋体" w:hAnsi="宋体" w:cs="宋体"/>
        </w:rPr>
      </w:pPr>
      <w:r>
        <w:rPr>
          <w:rFonts w:hint="eastAsia" w:ascii="宋体" w:hAnsi="宋体" w:cs="宋体"/>
        </w:rPr>
        <w:t>(6) 工程施工中存在重大安全、质量隐患且不按要求及时整改到位的；</w:t>
      </w:r>
    </w:p>
    <w:p>
      <w:pPr>
        <w:snapToGrid w:val="0"/>
        <w:spacing w:line="276" w:lineRule="auto"/>
        <w:ind w:firstLine="420" w:firstLineChars="200"/>
        <w:rPr>
          <w:rFonts w:ascii="宋体" w:hAnsi="宋体" w:cs="宋体"/>
        </w:rPr>
      </w:pPr>
      <w:r>
        <w:rPr>
          <w:rFonts w:hint="eastAsia" w:ascii="宋体" w:hAnsi="宋体" w:cs="宋体"/>
        </w:rPr>
        <w:t>(7)工期严重滞后，无法按期完成合同工期的；</w:t>
      </w:r>
    </w:p>
    <w:p>
      <w:pPr>
        <w:snapToGrid w:val="0"/>
        <w:spacing w:line="276" w:lineRule="auto"/>
        <w:ind w:firstLine="420" w:firstLineChars="200"/>
        <w:rPr>
          <w:rFonts w:ascii="宋体" w:hAnsi="宋体" w:cs="宋体"/>
        </w:rPr>
      </w:pPr>
      <w:r>
        <w:rPr>
          <w:rFonts w:hint="eastAsia" w:ascii="宋体" w:hAnsi="宋体" w:cs="宋体"/>
        </w:rPr>
        <w:t>(8)一个单位工程连续出现三次影响使用功能和结构安全，分部（项）工程自检合格但检查评定不合格的；</w:t>
      </w:r>
    </w:p>
    <w:p>
      <w:pPr>
        <w:snapToGrid w:val="0"/>
        <w:spacing w:line="276" w:lineRule="auto"/>
        <w:ind w:firstLine="420" w:firstLineChars="200"/>
        <w:rPr>
          <w:rFonts w:ascii="宋体" w:hAnsi="宋体" w:cs="宋体"/>
        </w:rPr>
      </w:pPr>
      <w:r>
        <w:rPr>
          <w:rFonts w:hint="eastAsia" w:ascii="宋体" w:hAnsi="宋体" w:cs="宋体"/>
        </w:rPr>
        <w:t>21.7本项目不得发生安全事故。施工过程应保证施工安全，如发生各类质量安全事故，除承包人应承担其自身、发包人和受损害第三方的所有损失（包括但不限于财产损失、人身损害赔偿、行政罚款、诉讼、仲裁及律师费用）并按政府有关规定处理外，发包人有权根据事故严重情况要求承包人支付10万元/次的违约金。</w:t>
      </w:r>
    </w:p>
    <w:p>
      <w:pPr>
        <w:snapToGrid w:val="0"/>
        <w:spacing w:line="276" w:lineRule="auto"/>
        <w:ind w:firstLine="420" w:firstLineChars="200"/>
        <w:rPr>
          <w:rFonts w:ascii="宋体" w:hAnsi="宋体" w:cs="宋体"/>
        </w:rPr>
      </w:pPr>
      <w:r>
        <w:rPr>
          <w:rFonts w:hint="eastAsia" w:ascii="宋体" w:hAnsi="宋体" w:cs="宋体"/>
        </w:rPr>
        <w:t>21.8在本合同履行中，如发包人依合同约定行使合同的单方解除权，则其后果为：(1)未付工程款不再支付；(2)</w:t>
      </w:r>
      <w:r>
        <w:rPr>
          <w:rFonts w:hint="eastAsia" w:ascii="宋体" w:hAnsi="宋体" w:cs="宋体"/>
          <w:bCs/>
        </w:rPr>
        <w:t>根据履约担保从投标人账户扣除相应金额</w:t>
      </w:r>
      <w:r>
        <w:rPr>
          <w:rFonts w:hint="eastAsia" w:ascii="宋体" w:hAnsi="宋体" w:cs="宋体"/>
        </w:rPr>
        <w:t>；(3)承包人应在接发包人解除通知后7日内撤出施工场地，并妥善处理好交接事宜，承包人承担因此给发包人造成的损失。</w:t>
      </w:r>
    </w:p>
    <w:p>
      <w:pPr>
        <w:snapToGrid w:val="0"/>
        <w:spacing w:line="276" w:lineRule="auto"/>
        <w:ind w:firstLine="422" w:firstLineChars="200"/>
        <w:rPr>
          <w:rFonts w:ascii="宋体" w:hAnsi="宋体" w:cs="宋体"/>
          <w:b/>
        </w:rPr>
      </w:pPr>
      <w:r>
        <w:rPr>
          <w:rFonts w:hint="eastAsia" w:ascii="宋体" w:hAnsi="宋体" w:cs="宋体"/>
          <w:b/>
        </w:rPr>
        <w:t>21.9</w:t>
      </w:r>
      <w:r>
        <w:rPr>
          <w:rFonts w:hint="eastAsia" w:ascii="宋体" w:hAnsi="宋体" w:cs="宋体"/>
          <w:b/>
          <w:bCs/>
        </w:rPr>
        <w:t>承包人应及时报送竣工结算材料，且不得谎报、多报。同时，若工程审减率超过5%的，其超过部分咨询费用由承包人向咨询单位支付。</w:t>
      </w:r>
    </w:p>
    <w:p>
      <w:pPr>
        <w:spacing w:line="276" w:lineRule="auto"/>
        <w:ind w:firstLine="420" w:firstLineChars="200"/>
        <w:rPr>
          <w:rFonts w:ascii="宋体" w:hAnsi="宋体" w:cs="宋体"/>
          <w:u w:val="single"/>
        </w:rPr>
      </w:pPr>
    </w:p>
    <w:p>
      <w:pPr>
        <w:spacing w:line="276" w:lineRule="auto"/>
        <w:ind w:firstLine="422" w:firstLineChars="200"/>
        <w:rPr>
          <w:rFonts w:ascii="宋体" w:hAnsi="宋体" w:cs="宋体"/>
          <w:b/>
        </w:rPr>
      </w:pPr>
      <w:r>
        <w:rPr>
          <w:rFonts w:hint="eastAsia" w:ascii="宋体" w:hAnsi="宋体" w:cs="宋体"/>
          <w:b/>
        </w:rPr>
        <w:t>附件</w:t>
      </w:r>
      <w:bookmarkEnd w:id="363"/>
      <w:r>
        <w:rPr>
          <w:rFonts w:hint="eastAsia" w:ascii="宋体" w:hAnsi="宋体" w:cs="宋体"/>
          <w:b/>
        </w:rPr>
        <w:t>（格式）  详见合同标准文本（略）</w:t>
      </w:r>
    </w:p>
    <w:p>
      <w:pPr>
        <w:spacing w:line="276" w:lineRule="auto"/>
        <w:rPr>
          <w:rFonts w:ascii="宋体" w:hAnsi="宋体" w:cs="宋体"/>
        </w:rPr>
      </w:pPr>
      <w:r>
        <w:rPr>
          <w:rFonts w:hint="eastAsia" w:ascii="宋体" w:hAnsi="宋体" w:cs="宋体"/>
        </w:rPr>
        <w:t>协议书附件：</w:t>
      </w:r>
    </w:p>
    <w:p>
      <w:pPr>
        <w:spacing w:line="276" w:lineRule="auto"/>
        <w:rPr>
          <w:rFonts w:ascii="宋体" w:hAnsi="宋体" w:cs="宋体"/>
        </w:rPr>
      </w:pPr>
      <w:r>
        <w:rPr>
          <w:rFonts w:hint="eastAsia" w:ascii="宋体" w:hAnsi="宋体" w:cs="宋体"/>
        </w:rPr>
        <w:t>附件1：承包人承揽工程项目一览表</w:t>
      </w:r>
    </w:p>
    <w:p>
      <w:pPr>
        <w:spacing w:line="276" w:lineRule="auto"/>
        <w:rPr>
          <w:rFonts w:ascii="宋体" w:hAnsi="宋体" w:cs="宋体"/>
        </w:rPr>
      </w:pPr>
      <w:r>
        <w:rPr>
          <w:rFonts w:hint="eastAsia" w:ascii="宋体" w:hAnsi="宋体" w:cs="宋体"/>
        </w:rPr>
        <w:t>专用合同条款附件：</w:t>
      </w:r>
    </w:p>
    <w:p>
      <w:pPr>
        <w:spacing w:line="276" w:lineRule="auto"/>
        <w:rPr>
          <w:rFonts w:ascii="宋体" w:hAnsi="宋体" w:cs="宋体"/>
        </w:rPr>
      </w:pPr>
      <w:r>
        <w:rPr>
          <w:rFonts w:hint="eastAsia" w:ascii="宋体" w:hAnsi="宋体" w:cs="宋体"/>
        </w:rPr>
        <w:t>附件2：发包人供应材料设备一览表</w:t>
      </w:r>
    </w:p>
    <w:p>
      <w:pPr>
        <w:spacing w:line="276" w:lineRule="auto"/>
        <w:rPr>
          <w:rFonts w:ascii="宋体" w:hAnsi="宋体" w:cs="宋体"/>
        </w:rPr>
      </w:pPr>
      <w:r>
        <w:rPr>
          <w:rFonts w:hint="eastAsia" w:ascii="宋体" w:hAnsi="宋体" w:cs="宋体"/>
        </w:rPr>
        <w:t>附件3：工程质量保修书</w:t>
      </w:r>
    </w:p>
    <w:p>
      <w:pPr>
        <w:spacing w:line="276" w:lineRule="auto"/>
        <w:rPr>
          <w:rFonts w:ascii="宋体" w:hAnsi="宋体" w:cs="宋体"/>
        </w:rPr>
      </w:pPr>
      <w:r>
        <w:rPr>
          <w:rFonts w:hint="eastAsia" w:ascii="宋体" w:hAnsi="宋体" w:cs="宋体"/>
        </w:rPr>
        <w:t>附件4：主要建设工程文件目录</w:t>
      </w:r>
    </w:p>
    <w:p>
      <w:pPr>
        <w:spacing w:line="276" w:lineRule="auto"/>
        <w:rPr>
          <w:rFonts w:ascii="宋体" w:hAnsi="宋体" w:cs="宋体"/>
        </w:rPr>
      </w:pPr>
      <w:r>
        <w:rPr>
          <w:rFonts w:hint="eastAsia" w:ascii="宋体" w:hAnsi="宋体" w:cs="宋体"/>
        </w:rPr>
        <w:t>附件5：承包人用于本工程施工的机械设备表</w:t>
      </w:r>
    </w:p>
    <w:p>
      <w:pPr>
        <w:spacing w:line="276" w:lineRule="auto"/>
        <w:rPr>
          <w:rFonts w:ascii="宋体" w:hAnsi="宋体" w:cs="宋体"/>
        </w:rPr>
      </w:pPr>
      <w:r>
        <w:rPr>
          <w:rFonts w:hint="eastAsia" w:ascii="宋体" w:hAnsi="宋体" w:cs="宋体"/>
        </w:rPr>
        <w:t>附件6：承包人主要施工管理人员表</w:t>
      </w:r>
    </w:p>
    <w:p>
      <w:pPr>
        <w:spacing w:line="276" w:lineRule="auto"/>
        <w:rPr>
          <w:rFonts w:ascii="宋体" w:hAnsi="宋体" w:cs="宋体"/>
        </w:rPr>
      </w:pPr>
      <w:r>
        <w:rPr>
          <w:rFonts w:hint="eastAsia" w:ascii="宋体" w:hAnsi="宋体" w:cs="宋体"/>
        </w:rPr>
        <w:t>附件7：分包人主要施工管理人员表</w:t>
      </w:r>
    </w:p>
    <w:p>
      <w:pPr>
        <w:spacing w:line="276" w:lineRule="auto"/>
        <w:rPr>
          <w:rFonts w:ascii="宋体" w:hAnsi="宋体" w:cs="宋体"/>
        </w:rPr>
      </w:pPr>
      <w:r>
        <w:rPr>
          <w:rFonts w:hint="eastAsia" w:ascii="宋体" w:hAnsi="宋体" w:cs="宋体"/>
        </w:rPr>
        <w:t>附件8：履约担保格式</w:t>
      </w:r>
    </w:p>
    <w:p>
      <w:pPr>
        <w:spacing w:line="276" w:lineRule="auto"/>
        <w:rPr>
          <w:rFonts w:ascii="宋体" w:hAnsi="宋体" w:cs="宋体"/>
        </w:rPr>
      </w:pPr>
      <w:r>
        <w:rPr>
          <w:rFonts w:hint="eastAsia" w:ascii="宋体" w:hAnsi="宋体" w:cs="宋体"/>
        </w:rPr>
        <w:t>附件9：预付款担保格式</w:t>
      </w:r>
    </w:p>
    <w:p>
      <w:pPr>
        <w:spacing w:line="276" w:lineRule="auto"/>
        <w:rPr>
          <w:rFonts w:ascii="宋体" w:hAnsi="宋体" w:cs="宋体"/>
        </w:rPr>
      </w:pPr>
      <w:r>
        <w:rPr>
          <w:rFonts w:hint="eastAsia" w:ascii="宋体" w:hAnsi="宋体" w:cs="宋体"/>
        </w:rPr>
        <w:t>附件10：支付担保格式</w:t>
      </w:r>
    </w:p>
    <w:p>
      <w:pPr>
        <w:snapToGrid w:val="0"/>
        <w:spacing w:line="276" w:lineRule="auto"/>
        <w:rPr>
          <w:rFonts w:hint="eastAsia" w:ascii="宋体" w:hAnsi="宋体" w:cs="宋体"/>
        </w:rPr>
      </w:pPr>
      <w:r>
        <w:rPr>
          <w:rFonts w:hint="eastAsia" w:ascii="宋体" w:hAnsi="宋体" w:cs="宋体"/>
        </w:rPr>
        <w:t>附件11：暂估价一览表</w:t>
      </w:r>
    </w:p>
    <w:p>
      <w:pPr>
        <w:rPr>
          <w:rFonts w:asciiTheme="minorEastAsia" w:hAnsiTheme="minorEastAsia" w:eastAsiaTheme="minorEastAsia"/>
        </w:rPr>
      </w:pPr>
      <w:r>
        <w:rPr>
          <w:rFonts w:hint="eastAsia" w:asciiTheme="minorEastAsia" w:hAnsiTheme="minorEastAsia" w:eastAsiaTheme="minorEastAsia"/>
        </w:rPr>
        <w:t>附件12：</w:t>
      </w:r>
      <w:r>
        <w:rPr>
          <w:rFonts w:hint="eastAsia" w:ascii="宋体" w:hAnsi="宋体" w:cs="宋体"/>
          <w:b/>
          <w:bCs/>
          <w:sz w:val="24"/>
        </w:rPr>
        <w:t>反腐败&amp;反利益冲突条款</w:t>
      </w:r>
    </w:p>
    <w:p>
      <w:pPr>
        <w:snapToGrid w:val="0"/>
        <w:spacing w:line="276" w:lineRule="auto"/>
        <w:rPr>
          <w:rFonts w:ascii="宋体" w:hAnsi="宋体" w:cs="宋体"/>
        </w:rPr>
      </w:pPr>
    </w:p>
    <w:p>
      <w:pPr>
        <w:snapToGrid w:val="0"/>
        <w:spacing w:line="276" w:lineRule="auto"/>
        <w:rPr>
          <w:rFonts w:ascii="宋体" w:hAnsi="宋体" w:cs="宋体"/>
        </w:rPr>
      </w:pPr>
    </w:p>
    <w:p>
      <w:pPr>
        <w:snapToGrid w:val="0"/>
        <w:spacing w:line="276" w:lineRule="auto"/>
        <w:rPr>
          <w:rFonts w:ascii="宋体" w:hAnsi="宋体" w:cs="宋体"/>
        </w:rPr>
      </w:pPr>
    </w:p>
    <w:p>
      <w:pPr>
        <w:snapToGrid w:val="0"/>
        <w:spacing w:line="276" w:lineRule="auto"/>
        <w:rPr>
          <w:rFonts w:ascii="宋体" w:hAnsi="宋体" w:cs="宋体"/>
        </w:rPr>
      </w:pPr>
    </w:p>
    <w:p>
      <w:pPr>
        <w:pStyle w:val="2"/>
        <w:numPr>
          <w:ilvl w:val="0"/>
          <w:numId w:val="0"/>
        </w:numPr>
        <w:adjustRightInd w:val="0"/>
        <w:snapToGrid w:val="0"/>
        <w:ind w:firstLine="2400" w:firstLineChars="600"/>
        <w:jc w:val="both"/>
        <w:rPr>
          <w:rFonts w:ascii="宋体" w:hAnsi="宋体" w:eastAsia="宋体" w:cs="宋体"/>
          <w:sz w:val="40"/>
          <w:szCs w:val="40"/>
        </w:rPr>
      </w:pPr>
      <w:bookmarkStart w:id="364" w:name="_Toc13741"/>
      <w:bookmarkStart w:id="365" w:name="_Toc30407"/>
      <w:r>
        <w:rPr>
          <w:rFonts w:hint="eastAsia" w:ascii="宋体" w:hAnsi="宋体" w:eastAsia="宋体" w:cs="宋体"/>
          <w:sz w:val="40"/>
          <w:szCs w:val="40"/>
        </w:rPr>
        <w:t>第五章投标文件格式</w:t>
      </w:r>
      <w:bookmarkEnd w:id="38"/>
      <w:bookmarkEnd w:id="364"/>
      <w:bookmarkEnd w:id="365"/>
    </w:p>
    <w:p/>
    <w:p>
      <w:pPr>
        <w:adjustRightInd w:val="0"/>
        <w:snapToGrid w:val="0"/>
        <w:ind w:firstLine="361" w:firstLineChars="100"/>
        <w:rPr>
          <w:rFonts w:ascii="宋体" w:hAnsi="宋体" w:cs="宋体"/>
          <w:b/>
          <w:bCs/>
          <w:sz w:val="36"/>
          <w:szCs w:val="36"/>
        </w:rPr>
      </w:pPr>
      <w:r>
        <w:rPr>
          <w:rFonts w:hint="eastAsia" w:ascii="宋体" w:hAnsi="宋体" w:cs="宋体"/>
          <w:b/>
          <w:bCs/>
          <w:sz w:val="36"/>
          <w:szCs w:val="36"/>
        </w:rPr>
        <w:t>（一）投标文件的组成</w:t>
      </w:r>
    </w:p>
    <w:p>
      <w:pPr>
        <w:tabs>
          <w:tab w:val="left" w:pos="425"/>
        </w:tabs>
        <w:adjustRightInd w:val="0"/>
        <w:snapToGrid w:val="0"/>
        <w:spacing w:line="500" w:lineRule="exact"/>
        <w:ind w:left="423" w:leftChars="200" w:hanging="3"/>
        <w:jc w:val="center"/>
        <w:rPr>
          <w:rFonts w:ascii="宋体" w:hAnsi="宋体" w:cs="宋体"/>
          <w:b/>
          <w:bCs/>
          <w:sz w:val="24"/>
        </w:rPr>
      </w:pPr>
    </w:p>
    <w:p>
      <w:pPr>
        <w:tabs>
          <w:tab w:val="left" w:pos="425"/>
        </w:tabs>
        <w:adjustRightInd w:val="0"/>
        <w:snapToGrid w:val="0"/>
        <w:spacing w:line="500" w:lineRule="exact"/>
        <w:ind w:left="423" w:leftChars="200" w:hanging="3"/>
        <w:rPr>
          <w:rFonts w:ascii="宋体" w:hAnsi="宋体" w:cs="宋体"/>
          <w:b/>
          <w:bCs/>
          <w:sz w:val="24"/>
        </w:rPr>
      </w:pPr>
      <w:r>
        <w:rPr>
          <w:rFonts w:hint="eastAsia" w:ascii="宋体" w:hAnsi="宋体" w:cs="宋体"/>
          <w:b/>
          <w:bCs/>
          <w:sz w:val="24"/>
        </w:rPr>
        <w:t>1.授权委托书（按招标文件格式要求一式陆份，投标文件内各一份，一份开标现场备查），或法定代表人身份证明书。</w:t>
      </w:r>
    </w:p>
    <w:p>
      <w:pPr>
        <w:adjustRightInd w:val="0"/>
        <w:snapToGrid w:val="0"/>
        <w:spacing w:line="500" w:lineRule="exact"/>
        <w:ind w:left="423" w:leftChars="200" w:hanging="3"/>
        <w:rPr>
          <w:rFonts w:ascii="宋体" w:hAnsi="宋体" w:cs="宋体"/>
          <w:b/>
          <w:bCs/>
          <w:sz w:val="24"/>
        </w:rPr>
      </w:pPr>
      <w:r>
        <w:rPr>
          <w:rFonts w:hint="eastAsia" w:ascii="宋体" w:hAnsi="宋体" w:cs="宋体"/>
          <w:b/>
          <w:bCs/>
          <w:sz w:val="24"/>
        </w:rPr>
        <w:t>2.投标函</w:t>
      </w:r>
    </w:p>
    <w:p>
      <w:pPr>
        <w:adjustRightInd w:val="0"/>
        <w:snapToGrid w:val="0"/>
        <w:spacing w:line="500" w:lineRule="exact"/>
        <w:ind w:left="423" w:leftChars="200" w:hanging="3"/>
        <w:rPr>
          <w:rFonts w:ascii="宋体" w:hAnsi="宋体" w:cs="宋体"/>
          <w:b/>
          <w:bCs/>
          <w:sz w:val="24"/>
        </w:rPr>
      </w:pPr>
      <w:r>
        <w:rPr>
          <w:rFonts w:hint="eastAsia" w:ascii="宋体" w:hAnsi="宋体" w:cs="宋体"/>
          <w:b/>
          <w:bCs/>
          <w:sz w:val="24"/>
        </w:rPr>
        <w:t>3.投标总报价表</w:t>
      </w:r>
    </w:p>
    <w:p>
      <w:pPr>
        <w:tabs>
          <w:tab w:val="left" w:pos="425"/>
        </w:tabs>
        <w:adjustRightInd w:val="0"/>
        <w:snapToGrid w:val="0"/>
        <w:spacing w:line="500" w:lineRule="exact"/>
        <w:ind w:left="423" w:leftChars="200" w:hanging="3"/>
        <w:rPr>
          <w:rFonts w:ascii="宋体" w:hAnsi="宋体" w:cs="宋体"/>
          <w:b/>
          <w:bCs/>
          <w:sz w:val="24"/>
        </w:rPr>
      </w:pPr>
      <w:r>
        <w:rPr>
          <w:rFonts w:hint="eastAsia" w:ascii="宋体" w:hAnsi="宋体" w:cs="宋体"/>
          <w:b/>
          <w:bCs/>
          <w:sz w:val="24"/>
        </w:rPr>
        <w:t>4.投标报价说明</w:t>
      </w:r>
    </w:p>
    <w:p>
      <w:pPr>
        <w:tabs>
          <w:tab w:val="left" w:pos="425"/>
        </w:tabs>
        <w:adjustRightInd w:val="0"/>
        <w:snapToGrid w:val="0"/>
        <w:spacing w:line="500" w:lineRule="exact"/>
        <w:ind w:left="423" w:leftChars="200" w:hanging="3"/>
        <w:rPr>
          <w:rFonts w:ascii="宋体" w:hAnsi="宋体" w:cs="宋体"/>
          <w:b/>
          <w:bCs/>
          <w:sz w:val="24"/>
        </w:rPr>
      </w:pPr>
      <w:r>
        <w:rPr>
          <w:rFonts w:hint="eastAsia" w:ascii="宋体" w:hAnsi="宋体" w:cs="宋体"/>
          <w:b/>
          <w:bCs/>
          <w:sz w:val="24"/>
        </w:rPr>
        <w:t>5、投标单位综合情况一览表</w:t>
      </w:r>
    </w:p>
    <w:p>
      <w:pPr>
        <w:tabs>
          <w:tab w:val="left" w:pos="425"/>
        </w:tabs>
        <w:adjustRightInd w:val="0"/>
        <w:snapToGrid w:val="0"/>
        <w:spacing w:line="500" w:lineRule="exact"/>
        <w:ind w:left="423" w:leftChars="200" w:hanging="3"/>
        <w:rPr>
          <w:rFonts w:ascii="宋体" w:hAnsi="宋体" w:cs="宋体"/>
          <w:b/>
          <w:bCs/>
          <w:sz w:val="24"/>
        </w:rPr>
      </w:pPr>
      <w:r>
        <w:rPr>
          <w:rFonts w:hint="eastAsia" w:ascii="宋体" w:hAnsi="宋体" w:cs="宋体"/>
          <w:b/>
          <w:bCs/>
          <w:sz w:val="24"/>
        </w:rPr>
        <w:t>6、投标单位分部分项报价表（格式按18清单计价规范规定）</w:t>
      </w:r>
    </w:p>
    <w:p>
      <w:pPr>
        <w:tabs>
          <w:tab w:val="left" w:pos="425"/>
        </w:tabs>
        <w:adjustRightInd w:val="0"/>
        <w:snapToGrid w:val="0"/>
        <w:spacing w:line="500" w:lineRule="exact"/>
        <w:ind w:left="423" w:leftChars="200" w:hanging="3"/>
        <w:rPr>
          <w:rFonts w:ascii="宋体" w:hAnsi="宋体" w:cs="宋体"/>
          <w:b/>
          <w:bCs/>
          <w:sz w:val="24"/>
        </w:rPr>
      </w:pPr>
      <w:r>
        <w:rPr>
          <w:rFonts w:hint="eastAsia" w:ascii="宋体" w:hAnsi="宋体" w:cs="宋体"/>
          <w:b/>
          <w:bCs/>
          <w:sz w:val="24"/>
        </w:rPr>
        <w:t>7、投标人营业执照、资质证书</w:t>
      </w:r>
    </w:p>
    <w:p>
      <w:pPr>
        <w:tabs>
          <w:tab w:val="left" w:pos="425"/>
        </w:tabs>
        <w:adjustRightInd w:val="0"/>
        <w:snapToGrid w:val="0"/>
        <w:spacing w:line="500" w:lineRule="exact"/>
        <w:ind w:left="423" w:leftChars="200" w:hanging="3"/>
        <w:rPr>
          <w:rFonts w:ascii="宋体" w:hAnsi="宋体" w:cs="宋体"/>
          <w:b/>
          <w:bCs/>
          <w:sz w:val="24"/>
        </w:rPr>
      </w:pPr>
      <w:r>
        <w:rPr>
          <w:rFonts w:hint="eastAsia" w:ascii="宋体" w:hAnsi="宋体" w:cs="宋体"/>
          <w:b/>
          <w:bCs/>
          <w:sz w:val="24"/>
        </w:rPr>
        <w:t>8、项目班子组成</w:t>
      </w:r>
    </w:p>
    <w:p>
      <w:pPr>
        <w:tabs>
          <w:tab w:val="left" w:pos="425"/>
        </w:tabs>
        <w:adjustRightInd w:val="0"/>
        <w:snapToGrid w:val="0"/>
        <w:spacing w:line="500" w:lineRule="exact"/>
        <w:ind w:left="423" w:leftChars="200" w:hanging="3"/>
        <w:rPr>
          <w:rFonts w:ascii="宋体" w:hAnsi="宋体" w:cs="宋体"/>
          <w:b/>
          <w:bCs/>
          <w:sz w:val="24"/>
        </w:rPr>
      </w:pPr>
      <w:r>
        <w:rPr>
          <w:rFonts w:hint="eastAsia" w:ascii="宋体" w:hAnsi="宋体" w:cs="宋体"/>
          <w:b/>
          <w:bCs/>
          <w:sz w:val="24"/>
        </w:rPr>
        <w:t>9、拟派本项目经理及项目班子人员资格、业绩表、资质证书复印件</w:t>
      </w:r>
    </w:p>
    <w:p>
      <w:pPr>
        <w:tabs>
          <w:tab w:val="left" w:pos="425"/>
        </w:tabs>
        <w:adjustRightInd w:val="0"/>
        <w:snapToGrid w:val="0"/>
        <w:spacing w:line="500" w:lineRule="exact"/>
        <w:ind w:left="423" w:leftChars="200" w:hanging="3"/>
        <w:rPr>
          <w:rFonts w:ascii="宋体" w:hAnsi="宋体" w:cs="宋体"/>
          <w:b/>
          <w:bCs/>
          <w:sz w:val="24"/>
        </w:rPr>
      </w:pPr>
      <w:r>
        <w:rPr>
          <w:rFonts w:hint="eastAsia" w:ascii="宋体" w:hAnsi="宋体" w:cs="宋体"/>
          <w:b/>
          <w:bCs/>
          <w:sz w:val="24"/>
        </w:rPr>
        <w:t>10、拟投入本工程的主要设备表</w:t>
      </w:r>
    </w:p>
    <w:p>
      <w:pPr>
        <w:tabs>
          <w:tab w:val="left" w:pos="425"/>
        </w:tabs>
        <w:adjustRightInd w:val="0"/>
        <w:snapToGrid w:val="0"/>
        <w:spacing w:line="500" w:lineRule="exact"/>
        <w:ind w:left="423" w:leftChars="200" w:hanging="3"/>
        <w:rPr>
          <w:rFonts w:ascii="宋体" w:hAnsi="宋体" w:cs="宋体"/>
          <w:b/>
          <w:bCs/>
          <w:sz w:val="24"/>
        </w:rPr>
      </w:pPr>
      <w:r>
        <w:rPr>
          <w:rFonts w:hint="eastAsia" w:ascii="宋体" w:hAnsi="宋体" w:cs="宋体"/>
          <w:b/>
          <w:bCs/>
          <w:sz w:val="24"/>
        </w:rPr>
        <w:t>11、主要施工方案</w:t>
      </w:r>
    </w:p>
    <w:p>
      <w:pPr>
        <w:tabs>
          <w:tab w:val="left" w:pos="425"/>
        </w:tabs>
        <w:adjustRightInd w:val="0"/>
        <w:snapToGrid w:val="0"/>
        <w:spacing w:line="500" w:lineRule="exact"/>
        <w:ind w:left="423" w:leftChars="200" w:hanging="3"/>
        <w:rPr>
          <w:rFonts w:ascii="宋体" w:hAnsi="宋体" w:cs="宋体"/>
          <w:b/>
          <w:bCs/>
          <w:sz w:val="24"/>
        </w:rPr>
      </w:pPr>
      <w:r>
        <w:rPr>
          <w:rFonts w:hint="eastAsia" w:ascii="宋体" w:hAnsi="宋体" w:cs="宋体"/>
          <w:b/>
          <w:bCs/>
          <w:sz w:val="24"/>
        </w:rPr>
        <w:t>12、投标人认为有必要放入的</w:t>
      </w:r>
    </w:p>
    <w:p>
      <w:pPr>
        <w:adjustRightInd w:val="0"/>
        <w:snapToGrid w:val="0"/>
        <w:spacing w:line="360" w:lineRule="auto"/>
        <w:ind w:left="423" w:leftChars="200" w:hanging="3"/>
        <w:rPr>
          <w:rFonts w:ascii="宋体" w:hAnsi="宋体" w:cs="宋体"/>
          <w:b/>
          <w:bCs/>
          <w:sz w:val="24"/>
        </w:rPr>
      </w:pPr>
    </w:p>
    <w:p>
      <w:pPr>
        <w:adjustRightInd w:val="0"/>
        <w:snapToGrid w:val="0"/>
        <w:spacing w:line="360" w:lineRule="auto"/>
        <w:ind w:left="423" w:leftChars="200" w:hanging="3"/>
        <w:rPr>
          <w:rFonts w:ascii="宋体" w:hAnsi="宋体" w:cs="宋体"/>
          <w:b/>
          <w:sz w:val="22"/>
          <w:szCs w:val="28"/>
        </w:rPr>
      </w:pPr>
    </w:p>
    <w:p>
      <w:pPr>
        <w:pStyle w:val="2"/>
        <w:numPr>
          <w:ilvl w:val="0"/>
          <w:numId w:val="0"/>
        </w:numPr>
        <w:ind w:left="3240"/>
        <w:jc w:val="both"/>
      </w:pPr>
    </w:p>
    <w:p>
      <w:pPr>
        <w:rPr>
          <w:rFonts w:ascii="宋体" w:hAnsi="宋体" w:cs="宋体"/>
          <w:b/>
          <w:sz w:val="22"/>
          <w:szCs w:val="28"/>
        </w:rPr>
      </w:pPr>
    </w:p>
    <w:p>
      <w:pPr>
        <w:pStyle w:val="2"/>
        <w:numPr>
          <w:ilvl w:val="0"/>
          <w:numId w:val="0"/>
        </w:numPr>
        <w:ind w:left="3240"/>
        <w:jc w:val="both"/>
      </w:pPr>
    </w:p>
    <w:p>
      <w:pPr>
        <w:rPr>
          <w:rFonts w:ascii="宋体" w:hAnsi="宋体" w:cs="宋体"/>
          <w:b/>
          <w:sz w:val="22"/>
          <w:szCs w:val="28"/>
        </w:rPr>
      </w:pPr>
    </w:p>
    <w:p>
      <w:pPr>
        <w:pStyle w:val="2"/>
        <w:numPr>
          <w:ilvl w:val="0"/>
          <w:numId w:val="0"/>
        </w:numPr>
        <w:jc w:val="both"/>
      </w:pPr>
    </w:p>
    <w:p>
      <w:pPr>
        <w:pStyle w:val="2"/>
        <w:numPr>
          <w:ilvl w:val="0"/>
          <w:numId w:val="0"/>
        </w:numPr>
        <w:jc w:val="both"/>
      </w:pPr>
      <w:r>
        <w:rPr>
          <w:rFonts w:hint="eastAsia"/>
        </w:rPr>
        <w:t>（二）文本模板</w:t>
      </w:r>
    </w:p>
    <w:p>
      <w:pPr>
        <w:pStyle w:val="2"/>
        <w:numPr>
          <w:ilvl w:val="0"/>
          <w:numId w:val="0"/>
        </w:numPr>
        <w:jc w:val="both"/>
      </w:pPr>
    </w:p>
    <w:p>
      <w:pPr>
        <w:adjustRightInd w:val="0"/>
        <w:snapToGrid w:val="0"/>
        <w:spacing w:line="360" w:lineRule="auto"/>
        <w:ind w:left="423" w:leftChars="200" w:hanging="3"/>
        <w:rPr>
          <w:rFonts w:ascii="宋体" w:hAnsi="宋体" w:cs="宋体"/>
          <w:b/>
          <w:sz w:val="22"/>
          <w:szCs w:val="28"/>
        </w:rPr>
      </w:pPr>
      <w:r>
        <w:rPr>
          <w:rFonts w:ascii="宋体" w:hAnsi="宋体" w:cs="宋体"/>
        </w:rPr>
        <w:pict>
          <v:rect id="1026" o:spid="_x0000_s1026" o:spt="1" style="position:absolute;left:0pt;margin-left:349.45pt;margin-top:-16.1pt;height:32.75pt;width:96.4pt;z-index:1024;mso-width-relative:page;mso-height-relative:page;" coordsize="21600,21600">
            <v:path/>
            <v:fill focussize="0,0"/>
            <v:stroke/>
            <v:imagedata o:title=""/>
            <o:lock v:ext="edit"/>
            <v:textbox>
              <w:txbxContent>
                <w:p>
                  <w:pPr>
                    <w:jc w:val="center"/>
                  </w:pPr>
                  <w:r>
                    <w:rPr>
                      <w:rFonts w:hint="eastAsia" w:hAnsi="宋体"/>
                      <w:b/>
                      <w:color w:val="000000"/>
                      <w:sz w:val="28"/>
                      <w:szCs w:val="28"/>
                    </w:rPr>
                    <w:t>正本或副本</w:t>
                  </w:r>
                </w:p>
              </w:txbxContent>
            </v:textbox>
          </v:rect>
        </w:pict>
      </w:r>
    </w:p>
    <w:p>
      <w:pPr>
        <w:adjustRightInd w:val="0"/>
        <w:snapToGrid w:val="0"/>
        <w:spacing w:line="360" w:lineRule="auto"/>
        <w:ind w:left="423" w:leftChars="200" w:hanging="3"/>
        <w:rPr>
          <w:rFonts w:ascii="宋体" w:hAnsi="宋体" w:cs="宋体"/>
          <w:b/>
          <w:sz w:val="22"/>
          <w:szCs w:val="28"/>
        </w:rPr>
      </w:pPr>
    </w:p>
    <w:p>
      <w:pPr>
        <w:tabs>
          <w:tab w:val="left" w:pos="2745"/>
          <w:tab w:val="center" w:pos="4450"/>
        </w:tabs>
        <w:adjustRightInd w:val="0"/>
        <w:snapToGrid w:val="0"/>
        <w:spacing w:line="360" w:lineRule="auto"/>
        <w:ind w:left="423" w:leftChars="200" w:hanging="3"/>
        <w:jc w:val="center"/>
        <w:outlineLvl w:val="0"/>
        <w:rPr>
          <w:rFonts w:ascii="宋体" w:hAnsi="宋体" w:cs="宋体"/>
          <w:sz w:val="36"/>
          <w:szCs w:val="44"/>
        </w:rPr>
      </w:pPr>
      <w:bookmarkStart w:id="366" w:name="_Toc15678"/>
      <w:bookmarkStart w:id="367" w:name="_Toc7518"/>
      <w:bookmarkStart w:id="368" w:name="_Toc17924"/>
      <w:bookmarkStart w:id="369" w:name="_Toc9222"/>
      <w:bookmarkStart w:id="370" w:name="_Toc11032"/>
      <w:r>
        <w:rPr>
          <w:rFonts w:hint="eastAsia" w:ascii="宋体" w:hAnsi="宋体" w:cs="宋体"/>
          <w:sz w:val="36"/>
          <w:szCs w:val="44"/>
        </w:rPr>
        <w:t>（项目名称）</w:t>
      </w:r>
      <w:bookmarkEnd w:id="366"/>
      <w:bookmarkEnd w:id="367"/>
      <w:bookmarkEnd w:id="368"/>
      <w:bookmarkEnd w:id="369"/>
      <w:bookmarkEnd w:id="370"/>
    </w:p>
    <w:p>
      <w:pPr>
        <w:adjustRightInd w:val="0"/>
        <w:snapToGrid w:val="0"/>
        <w:spacing w:line="360" w:lineRule="auto"/>
        <w:ind w:left="423" w:leftChars="200" w:hanging="3"/>
        <w:jc w:val="center"/>
        <w:rPr>
          <w:rFonts w:ascii="宋体" w:hAnsi="宋体" w:cs="宋体"/>
          <w:b/>
          <w:sz w:val="52"/>
          <w:szCs w:val="72"/>
        </w:rPr>
      </w:pPr>
    </w:p>
    <w:p>
      <w:pPr>
        <w:adjustRightInd w:val="0"/>
        <w:snapToGrid w:val="0"/>
        <w:spacing w:line="360" w:lineRule="auto"/>
        <w:ind w:left="423" w:leftChars="200" w:hanging="3"/>
        <w:jc w:val="center"/>
        <w:outlineLvl w:val="0"/>
        <w:rPr>
          <w:rFonts w:ascii="宋体" w:hAnsi="宋体" w:cs="宋体"/>
          <w:b/>
          <w:sz w:val="52"/>
          <w:szCs w:val="72"/>
        </w:rPr>
      </w:pPr>
      <w:bookmarkStart w:id="371" w:name="_Toc22893"/>
      <w:bookmarkStart w:id="372" w:name="_Toc3254"/>
      <w:bookmarkStart w:id="373" w:name="_Toc4645"/>
      <w:bookmarkStart w:id="374" w:name="_Toc1003"/>
      <w:bookmarkStart w:id="375" w:name="_Toc27483"/>
      <w:r>
        <w:rPr>
          <w:rFonts w:hint="eastAsia" w:ascii="宋体" w:hAnsi="宋体" w:cs="宋体"/>
          <w:b/>
          <w:sz w:val="52"/>
          <w:szCs w:val="72"/>
        </w:rPr>
        <w:t>投 标 文 件</w:t>
      </w:r>
      <w:bookmarkEnd w:id="371"/>
      <w:bookmarkEnd w:id="372"/>
      <w:bookmarkEnd w:id="373"/>
      <w:bookmarkEnd w:id="374"/>
      <w:bookmarkEnd w:id="375"/>
    </w:p>
    <w:p>
      <w:pPr>
        <w:adjustRightInd w:val="0"/>
        <w:snapToGrid w:val="0"/>
        <w:spacing w:before="50" w:after="50" w:line="360" w:lineRule="auto"/>
        <w:ind w:left="423" w:leftChars="200" w:hanging="3"/>
        <w:jc w:val="center"/>
        <w:outlineLvl w:val="0"/>
        <w:rPr>
          <w:rFonts w:ascii="宋体" w:hAnsi="宋体" w:cs="宋体"/>
          <w:b/>
          <w:sz w:val="24"/>
          <w:szCs w:val="30"/>
          <w:u w:val="single"/>
        </w:rPr>
      </w:pPr>
      <w:bookmarkStart w:id="376" w:name="_Toc28780"/>
      <w:bookmarkStart w:id="377" w:name="_Toc8615"/>
      <w:bookmarkStart w:id="378" w:name="_Toc18600"/>
      <w:bookmarkStart w:id="379" w:name="_Toc19314"/>
      <w:bookmarkStart w:id="380" w:name="_Toc19745"/>
      <w:r>
        <w:rPr>
          <w:rFonts w:hint="eastAsia" w:ascii="宋体" w:hAnsi="宋体" w:cs="宋体"/>
          <w:b/>
          <w:sz w:val="24"/>
          <w:szCs w:val="30"/>
        </w:rPr>
        <w:t>招标编号：</w:t>
      </w:r>
      <w:bookmarkEnd w:id="376"/>
      <w:bookmarkEnd w:id="377"/>
      <w:bookmarkEnd w:id="378"/>
      <w:bookmarkEnd w:id="379"/>
      <w:bookmarkEnd w:id="380"/>
    </w:p>
    <w:p>
      <w:pPr>
        <w:adjustRightInd w:val="0"/>
        <w:snapToGrid w:val="0"/>
        <w:spacing w:line="360" w:lineRule="auto"/>
        <w:ind w:left="423" w:leftChars="200" w:hanging="3"/>
        <w:jc w:val="center"/>
        <w:rPr>
          <w:rFonts w:ascii="宋体" w:hAnsi="宋体" w:cs="宋体"/>
          <w:b/>
          <w:sz w:val="18"/>
          <w:szCs w:val="21"/>
        </w:rPr>
      </w:pPr>
    </w:p>
    <w:p>
      <w:pPr>
        <w:adjustRightInd w:val="0"/>
        <w:snapToGrid w:val="0"/>
        <w:spacing w:line="360" w:lineRule="auto"/>
        <w:ind w:left="423" w:leftChars="200" w:hanging="3"/>
        <w:rPr>
          <w:rFonts w:ascii="宋体" w:hAnsi="宋体" w:cs="宋体"/>
          <w:b/>
          <w:sz w:val="18"/>
          <w:szCs w:val="21"/>
        </w:rPr>
      </w:pPr>
    </w:p>
    <w:p>
      <w:pPr>
        <w:adjustRightInd w:val="0"/>
        <w:snapToGrid w:val="0"/>
        <w:spacing w:line="360" w:lineRule="auto"/>
        <w:ind w:left="423" w:leftChars="200" w:hanging="3"/>
        <w:rPr>
          <w:rFonts w:ascii="宋体" w:hAnsi="宋体" w:cs="宋体"/>
          <w:b/>
          <w:sz w:val="18"/>
          <w:szCs w:val="21"/>
        </w:rPr>
      </w:pPr>
    </w:p>
    <w:p>
      <w:pPr>
        <w:adjustRightInd w:val="0"/>
        <w:snapToGrid w:val="0"/>
        <w:spacing w:line="360" w:lineRule="auto"/>
        <w:ind w:left="423" w:leftChars="200" w:hanging="3"/>
        <w:rPr>
          <w:rFonts w:ascii="宋体" w:hAnsi="宋体" w:cs="宋体"/>
          <w:b/>
          <w:sz w:val="18"/>
          <w:szCs w:val="21"/>
        </w:rPr>
      </w:pPr>
    </w:p>
    <w:p>
      <w:pPr>
        <w:adjustRightInd w:val="0"/>
        <w:snapToGrid w:val="0"/>
        <w:spacing w:line="360" w:lineRule="auto"/>
        <w:ind w:left="423" w:leftChars="200" w:hanging="3"/>
        <w:rPr>
          <w:rFonts w:ascii="宋体" w:hAnsi="宋体" w:cs="宋体"/>
          <w:b/>
          <w:sz w:val="18"/>
          <w:szCs w:val="21"/>
        </w:rPr>
      </w:pPr>
    </w:p>
    <w:p>
      <w:pPr>
        <w:adjustRightInd w:val="0"/>
        <w:snapToGrid w:val="0"/>
        <w:spacing w:line="360" w:lineRule="auto"/>
        <w:ind w:left="423" w:leftChars="200" w:hanging="3"/>
        <w:rPr>
          <w:rFonts w:ascii="宋体" w:hAnsi="宋体" w:cs="宋体"/>
          <w:b/>
          <w:sz w:val="18"/>
          <w:szCs w:val="21"/>
        </w:rPr>
      </w:pPr>
    </w:p>
    <w:p>
      <w:pPr>
        <w:adjustRightInd w:val="0"/>
        <w:snapToGrid w:val="0"/>
        <w:spacing w:line="360" w:lineRule="auto"/>
        <w:ind w:left="423" w:leftChars="200" w:hanging="3"/>
        <w:rPr>
          <w:rFonts w:ascii="宋体" w:hAnsi="宋体" w:cs="宋体"/>
          <w:b/>
          <w:sz w:val="18"/>
          <w:szCs w:val="21"/>
        </w:rPr>
      </w:pPr>
    </w:p>
    <w:p>
      <w:pPr>
        <w:adjustRightInd w:val="0"/>
        <w:snapToGrid w:val="0"/>
        <w:spacing w:line="360" w:lineRule="auto"/>
        <w:ind w:left="423" w:leftChars="200" w:hanging="3"/>
        <w:rPr>
          <w:rFonts w:ascii="宋体" w:hAnsi="宋体" w:cs="宋体"/>
          <w:b/>
          <w:sz w:val="18"/>
          <w:szCs w:val="21"/>
        </w:rPr>
      </w:pPr>
    </w:p>
    <w:p>
      <w:pPr>
        <w:adjustRightInd w:val="0"/>
        <w:snapToGrid w:val="0"/>
        <w:spacing w:line="360" w:lineRule="auto"/>
        <w:ind w:left="423" w:leftChars="200" w:hanging="3"/>
        <w:rPr>
          <w:rFonts w:ascii="宋体" w:hAnsi="宋体" w:cs="宋体"/>
          <w:b/>
          <w:sz w:val="18"/>
          <w:szCs w:val="21"/>
        </w:rPr>
      </w:pPr>
    </w:p>
    <w:p>
      <w:pPr>
        <w:adjustRightInd w:val="0"/>
        <w:snapToGrid w:val="0"/>
        <w:spacing w:line="360" w:lineRule="auto"/>
        <w:ind w:left="423" w:leftChars="200" w:hanging="3"/>
        <w:rPr>
          <w:rFonts w:ascii="宋体" w:hAnsi="宋体" w:cs="宋体"/>
          <w:b/>
          <w:sz w:val="18"/>
          <w:szCs w:val="21"/>
        </w:rPr>
      </w:pPr>
    </w:p>
    <w:p>
      <w:pPr>
        <w:adjustRightInd w:val="0"/>
        <w:snapToGrid w:val="0"/>
        <w:spacing w:line="360" w:lineRule="auto"/>
        <w:ind w:left="423" w:leftChars="200" w:hanging="3"/>
        <w:rPr>
          <w:rFonts w:ascii="宋体" w:hAnsi="宋体" w:cs="宋体"/>
          <w:b/>
          <w:sz w:val="18"/>
          <w:szCs w:val="21"/>
        </w:rPr>
      </w:pPr>
    </w:p>
    <w:p>
      <w:pPr>
        <w:adjustRightInd w:val="0"/>
        <w:snapToGrid w:val="0"/>
        <w:spacing w:line="720" w:lineRule="auto"/>
        <w:ind w:left="423" w:leftChars="200" w:hanging="3"/>
        <w:jc w:val="center"/>
        <w:rPr>
          <w:rFonts w:ascii="宋体" w:hAnsi="宋体" w:cs="宋体"/>
          <w:sz w:val="28"/>
          <w:szCs w:val="32"/>
        </w:rPr>
      </w:pPr>
      <w:r>
        <w:rPr>
          <w:rFonts w:hint="eastAsia" w:ascii="宋体" w:hAnsi="宋体" w:cs="宋体"/>
          <w:sz w:val="28"/>
          <w:szCs w:val="32"/>
        </w:rPr>
        <w:t>投标人：（盖单位公章）</w:t>
      </w:r>
    </w:p>
    <w:p>
      <w:pPr>
        <w:adjustRightInd w:val="0"/>
        <w:snapToGrid w:val="0"/>
        <w:spacing w:line="720" w:lineRule="auto"/>
        <w:ind w:left="423" w:leftChars="200" w:hanging="3"/>
        <w:jc w:val="center"/>
        <w:rPr>
          <w:rFonts w:ascii="宋体" w:hAnsi="宋体" w:cs="宋体"/>
          <w:sz w:val="28"/>
          <w:szCs w:val="32"/>
        </w:rPr>
      </w:pPr>
      <w:r>
        <w:rPr>
          <w:rFonts w:hint="eastAsia" w:ascii="宋体" w:hAnsi="宋体" w:cs="宋体"/>
          <w:sz w:val="28"/>
          <w:szCs w:val="32"/>
        </w:rPr>
        <w:t>法定代表人或其委托代理人：（签字或盖章）</w:t>
      </w:r>
    </w:p>
    <w:p>
      <w:pPr>
        <w:adjustRightInd w:val="0"/>
        <w:snapToGrid w:val="0"/>
        <w:spacing w:line="720" w:lineRule="auto"/>
        <w:ind w:left="423" w:leftChars="200" w:hanging="3"/>
        <w:jc w:val="center"/>
        <w:rPr>
          <w:rFonts w:ascii="宋体" w:hAnsi="宋体" w:cs="宋体"/>
          <w:sz w:val="28"/>
          <w:szCs w:val="32"/>
        </w:rPr>
      </w:pPr>
      <w:r>
        <w:rPr>
          <w:rFonts w:hint="eastAsia" w:ascii="宋体" w:hAnsi="宋体" w:cs="宋体"/>
          <w:sz w:val="28"/>
          <w:szCs w:val="32"/>
        </w:rPr>
        <w:t>年   月   日</w:t>
      </w:r>
    </w:p>
    <w:p>
      <w:pPr>
        <w:adjustRightInd w:val="0"/>
        <w:snapToGrid w:val="0"/>
        <w:spacing w:line="540" w:lineRule="exact"/>
        <w:ind w:left="423" w:leftChars="200" w:right="15" w:rightChars="7" w:hanging="3"/>
        <w:rPr>
          <w:rFonts w:ascii="宋体" w:hAnsi="宋体" w:cs="宋体"/>
          <w:b/>
          <w:szCs w:val="21"/>
        </w:rPr>
      </w:pPr>
      <w:r>
        <w:rPr>
          <w:rFonts w:hint="eastAsia" w:ascii="宋体" w:hAnsi="宋体" w:cs="宋体"/>
          <w:b/>
          <w:bCs/>
          <w:sz w:val="24"/>
        </w:rPr>
        <w:br w:type="page"/>
      </w:r>
      <w:r>
        <w:rPr>
          <w:rFonts w:hint="eastAsia" w:ascii="宋体" w:hAnsi="宋体" w:cs="宋体"/>
          <w:b/>
          <w:sz w:val="28"/>
          <w:szCs w:val="28"/>
        </w:rPr>
        <w:t>附件</w:t>
      </w:r>
    </w:p>
    <w:p>
      <w:pPr>
        <w:adjustRightInd w:val="0"/>
        <w:snapToGrid w:val="0"/>
        <w:spacing w:beforeLines="200" w:afterLines="150" w:line="540" w:lineRule="exact"/>
        <w:ind w:left="423" w:leftChars="200" w:right="15" w:rightChars="7" w:hanging="3"/>
        <w:jc w:val="center"/>
        <w:outlineLvl w:val="0"/>
        <w:rPr>
          <w:rFonts w:ascii="宋体" w:hAnsi="宋体" w:cs="宋体"/>
          <w:b/>
          <w:bCs/>
          <w:sz w:val="24"/>
        </w:rPr>
      </w:pPr>
      <w:bookmarkStart w:id="381" w:name="_Toc20551"/>
      <w:bookmarkStart w:id="382" w:name="_Toc20259"/>
      <w:bookmarkStart w:id="383" w:name="_Toc14786"/>
      <w:bookmarkStart w:id="384" w:name="_Toc9867"/>
      <w:bookmarkStart w:id="385" w:name="_Toc32002"/>
      <w:r>
        <w:rPr>
          <w:rFonts w:hint="eastAsia" w:ascii="宋体" w:hAnsi="宋体" w:cs="宋体"/>
          <w:b/>
          <w:bCs/>
          <w:sz w:val="24"/>
        </w:rPr>
        <w:t>授 权 委 托 书</w:t>
      </w:r>
      <w:bookmarkEnd w:id="381"/>
      <w:bookmarkEnd w:id="382"/>
      <w:bookmarkEnd w:id="383"/>
      <w:bookmarkEnd w:id="384"/>
      <w:bookmarkEnd w:id="385"/>
    </w:p>
    <w:p>
      <w:pPr>
        <w:pStyle w:val="11"/>
        <w:adjustRightInd w:val="0"/>
        <w:snapToGrid w:val="0"/>
        <w:spacing w:beforeLines="20" w:afterLines="20" w:line="540" w:lineRule="exact"/>
        <w:ind w:left="423" w:right="15" w:rightChars="7" w:hanging="3"/>
        <w:rPr>
          <w:rFonts w:ascii="宋体" w:hAnsi="宋体" w:cs="宋体"/>
          <w:szCs w:val="21"/>
        </w:rPr>
      </w:pPr>
    </w:p>
    <w:p>
      <w:pPr>
        <w:pStyle w:val="11"/>
        <w:adjustRightInd w:val="0"/>
        <w:snapToGrid w:val="0"/>
        <w:spacing w:beforeLines="20" w:afterLines="20" w:line="540" w:lineRule="exact"/>
        <w:ind w:left="423" w:right="15" w:rightChars="7" w:hanging="3"/>
        <w:rPr>
          <w:rFonts w:ascii="宋体" w:hAnsi="宋体" w:cs="宋体"/>
          <w:szCs w:val="21"/>
        </w:rPr>
      </w:pPr>
      <w:r>
        <w:rPr>
          <w:rFonts w:hint="eastAsia" w:ascii="宋体" w:hAnsi="宋体" w:cs="宋体"/>
          <w:szCs w:val="21"/>
        </w:rPr>
        <w:t>本授权委托书声明：本人</w:t>
      </w:r>
      <w:r>
        <w:rPr>
          <w:rFonts w:hint="eastAsia" w:ascii="宋体" w:hAnsi="宋体" w:cs="宋体"/>
          <w:szCs w:val="21"/>
          <w:u w:val="single"/>
        </w:rPr>
        <w:t xml:space="preserve">  （姓名） </w:t>
      </w:r>
      <w:r>
        <w:rPr>
          <w:rFonts w:hint="eastAsia" w:ascii="宋体" w:hAnsi="宋体" w:cs="宋体"/>
          <w:szCs w:val="21"/>
        </w:rPr>
        <w:t xml:space="preserve">系 </w:t>
      </w:r>
      <w:r>
        <w:rPr>
          <w:rFonts w:hint="eastAsia" w:ascii="宋体" w:hAnsi="宋体" w:cs="宋体"/>
          <w:szCs w:val="21"/>
          <w:u w:val="single"/>
        </w:rPr>
        <w:t xml:space="preserve"> （投 标 人 名 称） </w:t>
      </w:r>
      <w:r>
        <w:rPr>
          <w:rFonts w:hint="eastAsia" w:ascii="宋体" w:hAnsi="宋体" w:cs="宋体"/>
          <w:szCs w:val="21"/>
        </w:rPr>
        <w:t xml:space="preserve">的法定代表人，现授权委托 </w:t>
      </w:r>
      <w:r>
        <w:rPr>
          <w:rFonts w:hint="eastAsia" w:ascii="宋体" w:hAnsi="宋体" w:cs="宋体"/>
          <w:szCs w:val="21"/>
          <w:u w:val="single"/>
        </w:rPr>
        <w:t xml:space="preserve">  （单位名称） </w:t>
      </w:r>
      <w:r>
        <w:rPr>
          <w:rFonts w:hint="eastAsia" w:ascii="宋体" w:hAnsi="宋体" w:cs="宋体"/>
          <w:szCs w:val="21"/>
        </w:rPr>
        <w:t xml:space="preserve">的 </w:t>
      </w:r>
      <w:r>
        <w:rPr>
          <w:rFonts w:hint="eastAsia" w:ascii="宋体" w:hAnsi="宋体" w:cs="宋体"/>
          <w:szCs w:val="21"/>
          <w:u w:val="single"/>
        </w:rPr>
        <w:t xml:space="preserve"> （姓名） </w:t>
      </w:r>
      <w:r>
        <w:rPr>
          <w:rFonts w:hint="eastAsia" w:ascii="宋体" w:hAnsi="宋体" w:cs="宋体"/>
          <w:szCs w:val="21"/>
        </w:rPr>
        <w:t>为我公司的合法代理人，就</w:t>
      </w:r>
      <w:r>
        <w:rPr>
          <w:rFonts w:hint="eastAsia" w:ascii="宋体" w:hAnsi="宋体" w:cs="宋体"/>
          <w:szCs w:val="21"/>
          <w:u w:val="single"/>
        </w:rPr>
        <w:t xml:space="preserve">  （项目名称） </w:t>
      </w:r>
      <w:r>
        <w:rPr>
          <w:rFonts w:hint="eastAsia" w:ascii="宋体" w:hAnsi="宋体" w:cs="宋体"/>
          <w:szCs w:val="21"/>
        </w:rPr>
        <w:t>的项目投标活动，以本公司的名义签署投标书、签署合同和处理与之有关的一切事宜。</w:t>
      </w:r>
    </w:p>
    <w:p>
      <w:pPr>
        <w:pStyle w:val="10"/>
        <w:adjustRightInd w:val="0"/>
        <w:snapToGrid w:val="0"/>
        <w:spacing w:beforeLines="20" w:afterLines="20" w:line="540" w:lineRule="exact"/>
        <w:ind w:left="423" w:leftChars="200" w:right="15" w:rightChars="7" w:hanging="3"/>
        <w:rPr>
          <w:rFonts w:ascii="宋体" w:hAnsi="宋体" w:cs="宋体"/>
          <w:sz w:val="21"/>
          <w:szCs w:val="21"/>
        </w:rPr>
      </w:pPr>
      <w:r>
        <w:rPr>
          <w:rFonts w:hint="eastAsia" w:ascii="宋体" w:hAnsi="宋体" w:cs="宋体"/>
          <w:sz w:val="21"/>
          <w:szCs w:val="21"/>
        </w:rPr>
        <w:t>代理人无转委托权，特此委托。</w:t>
      </w:r>
    </w:p>
    <w:p>
      <w:pPr>
        <w:adjustRightInd w:val="0"/>
        <w:snapToGrid w:val="0"/>
        <w:spacing w:beforeLines="20" w:afterLines="20" w:line="540" w:lineRule="exact"/>
        <w:ind w:left="423" w:leftChars="200" w:right="15" w:rightChars="7" w:hanging="3"/>
        <w:rPr>
          <w:rFonts w:ascii="宋体" w:hAnsi="宋体" w:cs="宋体"/>
          <w:szCs w:val="21"/>
        </w:rPr>
      </w:pPr>
    </w:p>
    <w:p>
      <w:pPr>
        <w:adjustRightInd w:val="0"/>
        <w:snapToGrid w:val="0"/>
        <w:spacing w:beforeLines="20" w:afterLines="20" w:line="540" w:lineRule="exact"/>
        <w:ind w:left="423" w:leftChars="200" w:right="15" w:rightChars="7" w:hanging="3"/>
        <w:rPr>
          <w:rFonts w:ascii="宋体" w:hAnsi="宋体" w:cs="宋体"/>
          <w:szCs w:val="21"/>
        </w:rPr>
      </w:pPr>
    </w:p>
    <w:p>
      <w:pPr>
        <w:adjustRightInd w:val="0"/>
        <w:snapToGrid w:val="0"/>
        <w:spacing w:beforeLines="20" w:afterLines="20" w:line="540" w:lineRule="exact"/>
        <w:ind w:left="423" w:leftChars="200" w:right="15" w:rightChars="7" w:hanging="3"/>
        <w:rPr>
          <w:rFonts w:ascii="宋体" w:hAnsi="宋体" w:cs="宋体"/>
          <w:szCs w:val="21"/>
        </w:rPr>
      </w:pPr>
      <w:r>
        <w:rPr>
          <w:rFonts w:hint="eastAsia" w:ascii="宋体" w:hAnsi="宋体" w:cs="宋体"/>
          <w:szCs w:val="21"/>
        </w:rPr>
        <w:t>投  标  人：</w:t>
      </w:r>
      <w:r>
        <w:rPr>
          <w:rFonts w:hint="eastAsia" w:ascii="宋体" w:hAnsi="宋体" w:cs="宋体"/>
          <w:szCs w:val="21"/>
          <w:u w:val="single"/>
        </w:rPr>
        <w:t xml:space="preserve">                                         （盖章）</w:t>
      </w:r>
    </w:p>
    <w:p>
      <w:pPr>
        <w:adjustRightInd w:val="0"/>
        <w:snapToGrid w:val="0"/>
        <w:spacing w:beforeLines="20" w:afterLines="20" w:line="540" w:lineRule="exact"/>
        <w:ind w:left="423" w:leftChars="200" w:right="15" w:rightChars="7" w:hanging="3"/>
        <w:rPr>
          <w:rFonts w:ascii="宋体" w:hAnsi="宋体" w:cs="宋体"/>
          <w:szCs w:val="21"/>
        </w:rPr>
      </w:pPr>
    </w:p>
    <w:p>
      <w:pPr>
        <w:adjustRightInd w:val="0"/>
        <w:snapToGrid w:val="0"/>
        <w:spacing w:beforeLines="20" w:afterLines="20" w:line="540" w:lineRule="exact"/>
        <w:ind w:left="423" w:leftChars="200" w:right="15" w:rightChars="7" w:hanging="3"/>
        <w:rPr>
          <w:rFonts w:ascii="宋体" w:hAnsi="宋体" w:cs="宋体"/>
          <w:szCs w:val="21"/>
          <w:u w:val="single"/>
        </w:rPr>
      </w:pPr>
      <w:r>
        <w:rPr>
          <w:rFonts w:hint="eastAsia" w:ascii="宋体" w:hAnsi="宋体" w:cs="宋体"/>
          <w:szCs w:val="21"/>
        </w:rPr>
        <w:t>法定代表人：</w:t>
      </w:r>
      <w:r>
        <w:rPr>
          <w:rFonts w:hint="eastAsia" w:ascii="宋体" w:hAnsi="宋体" w:cs="宋体"/>
          <w:szCs w:val="21"/>
          <w:u w:val="single"/>
        </w:rPr>
        <w:t xml:space="preserve">                                   （签字或盖章）</w:t>
      </w:r>
    </w:p>
    <w:p>
      <w:pPr>
        <w:adjustRightInd w:val="0"/>
        <w:snapToGrid w:val="0"/>
        <w:spacing w:beforeLines="20" w:afterLines="20" w:line="540" w:lineRule="exact"/>
        <w:ind w:left="423" w:leftChars="200" w:right="15" w:rightChars="7" w:hanging="3"/>
        <w:rPr>
          <w:rFonts w:ascii="宋体" w:hAnsi="宋体" w:cs="宋体"/>
          <w:szCs w:val="21"/>
          <w:u w:val="single"/>
        </w:rPr>
      </w:pPr>
    </w:p>
    <w:p>
      <w:pPr>
        <w:adjustRightInd w:val="0"/>
        <w:snapToGrid w:val="0"/>
        <w:spacing w:beforeLines="20" w:afterLines="20" w:line="540" w:lineRule="exact"/>
        <w:ind w:left="423" w:leftChars="200" w:right="15" w:rightChars="7" w:hanging="3"/>
        <w:rPr>
          <w:rFonts w:ascii="宋体" w:hAnsi="宋体" w:cs="宋体"/>
          <w:szCs w:val="21"/>
        </w:rPr>
      </w:pPr>
      <w:r>
        <w:rPr>
          <w:rFonts w:hint="eastAsia" w:ascii="宋体" w:hAnsi="宋体" w:cs="宋体"/>
          <w:szCs w:val="21"/>
        </w:rPr>
        <w:t>授权委托人：</w:t>
      </w:r>
      <w:r>
        <w:rPr>
          <w:rFonts w:hint="eastAsia" w:ascii="宋体" w:hAnsi="宋体" w:cs="宋体"/>
          <w:szCs w:val="21"/>
          <w:u w:val="single"/>
        </w:rPr>
        <w:t xml:space="preserve">                                   （签字或盖章）</w:t>
      </w:r>
    </w:p>
    <w:p>
      <w:pPr>
        <w:adjustRightInd w:val="0"/>
        <w:snapToGrid w:val="0"/>
        <w:spacing w:beforeLines="20" w:afterLines="20" w:line="540" w:lineRule="exact"/>
        <w:ind w:left="423" w:leftChars="200" w:right="15" w:rightChars="7" w:hanging="3"/>
        <w:rPr>
          <w:rFonts w:ascii="宋体" w:hAnsi="宋体" w:cs="宋体"/>
          <w:szCs w:val="21"/>
        </w:rPr>
      </w:pPr>
    </w:p>
    <w:p>
      <w:pPr>
        <w:adjustRightInd w:val="0"/>
        <w:snapToGrid w:val="0"/>
        <w:spacing w:beforeLines="20" w:afterLines="20" w:line="540" w:lineRule="exact"/>
        <w:ind w:left="423" w:leftChars="200" w:right="15" w:rightChars="7" w:hanging="3"/>
        <w:jc w:val="left"/>
        <w:rPr>
          <w:rFonts w:ascii="宋体" w:hAnsi="宋体" w:cs="宋体"/>
          <w:szCs w:val="21"/>
        </w:rPr>
      </w:pPr>
      <w:r>
        <w:rPr>
          <w:rFonts w:hint="eastAsia" w:ascii="宋体" w:hAnsi="宋体" w:cs="宋体"/>
          <w:szCs w:val="21"/>
        </w:rPr>
        <w:t>授权委托日期：         年     月     日</w:t>
      </w:r>
    </w:p>
    <w:p>
      <w:pPr>
        <w:adjustRightInd w:val="0"/>
        <w:snapToGrid w:val="0"/>
        <w:spacing w:line="500" w:lineRule="exact"/>
        <w:ind w:left="423" w:leftChars="200" w:hanging="3"/>
        <w:rPr>
          <w:rFonts w:ascii="宋体" w:hAnsi="宋体" w:cs="宋体"/>
          <w:b/>
          <w:bCs/>
          <w:szCs w:val="21"/>
        </w:rPr>
      </w:pPr>
    </w:p>
    <w:p>
      <w:pPr>
        <w:adjustRightInd w:val="0"/>
        <w:snapToGrid w:val="0"/>
        <w:spacing w:line="360" w:lineRule="auto"/>
        <w:ind w:left="423" w:leftChars="200" w:hanging="3"/>
        <w:rPr>
          <w:rFonts w:ascii="宋体" w:hAnsi="宋体" w:cs="宋体"/>
          <w:b/>
          <w:sz w:val="22"/>
          <w:szCs w:val="28"/>
        </w:rPr>
      </w:pPr>
    </w:p>
    <w:p>
      <w:pPr>
        <w:adjustRightInd w:val="0"/>
        <w:snapToGrid w:val="0"/>
        <w:spacing w:line="360" w:lineRule="auto"/>
        <w:ind w:left="423" w:leftChars="200" w:hanging="3"/>
        <w:rPr>
          <w:rFonts w:ascii="宋体" w:hAnsi="宋体" w:cs="宋体"/>
          <w:b/>
          <w:sz w:val="22"/>
          <w:szCs w:val="28"/>
        </w:rPr>
      </w:pPr>
    </w:p>
    <w:p>
      <w:pPr>
        <w:adjustRightInd w:val="0"/>
        <w:snapToGrid w:val="0"/>
        <w:spacing w:line="360" w:lineRule="auto"/>
        <w:ind w:left="423" w:leftChars="200" w:hanging="3"/>
        <w:rPr>
          <w:rFonts w:ascii="宋体" w:hAnsi="宋体" w:cs="宋体"/>
          <w:b/>
          <w:sz w:val="22"/>
          <w:szCs w:val="28"/>
        </w:rPr>
      </w:pPr>
    </w:p>
    <w:p>
      <w:pPr>
        <w:adjustRightInd w:val="0"/>
        <w:snapToGrid w:val="0"/>
        <w:spacing w:line="360" w:lineRule="auto"/>
        <w:ind w:left="423" w:leftChars="200" w:hanging="3"/>
        <w:rPr>
          <w:rFonts w:ascii="宋体" w:hAnsi="宋体" w:cs="宋体"/>
          <w:b/>
          <w:sz w:val="22"/>
          <w:szCs w:val="28"/>
        </w:rPr>
      </w:pPr>
      <w:r>
        <w:rPr>
          <w:rFonts w:hint="eastAsia" w:ascii="宋体" w:hAnsi="宋体" w:cs="宋体"/>
          <w:b/>
          <w:sz w:val="22"/>
          <w:szCs w:val="28"/>
        </w:rPr>
        <w:br w:type="page"/>
      </w:r>
      <w:r>
        <w:rPr>
          <w:rFonts w:hint="eastAsia" w:ascii="宋体" w:hAnsi="宋体" w:cs="宋体"/>
          <w:b/>
          <w:sz w:val="28"/>
          <w:szCs w:val="28"/>
        </w:rPr>
        <w:t>附件</w:t>
      </w:r>
    </w:p>
    <w:p>
      <w:pPr>
        <w:adjustRightInd w:val="0"/>
        <w:snapToGrid w:val="0"/>
        <w:spacing w:beforeLines="20" w:afterLines="20" w:line="540" w:lineRule="exact"/>
        <w:ind w:left="423" w:leftChars="200" w:hanging="3"/>
        <w:rPr>
          <w:rFonts w:ascii="宋体" w:hAnsi="宋体" w:cs="宋体"/>
          <w:b/>
          <w:sz w:val="30"/>
        </w:rPr>
      </w:pPr>
    </w:p>
    <w:p>
      <w:pPr>
        <w:pStyle w:val="12"/>
        <w:adjustRightInd w:val="0"/>
        <w:snapToGrid w:val="0"/>
        <w:ind w:left="423" w:leftChars="200" w:hanging="3"/>
        <w:jc w:val="center"/>
        <w:outlineLvl w:val="1"/>
        <w:rPr>
          <w:rFonts w:hAnsi="宋体" w:cs="宋体"/>
          <w:b/>
          <w:color w:val="auto"/>
          <w:sz w:val="30"/>
          <w:szCs w:val="30"/>
        </w:rPr>
      </w:pPr>
      <w:bookmarkStart w:id="386" w:name="_Toc171741990"/>
      <w:bookmarkStart w:id="387" w:name="_Toc21058"/>
      <w:bookmarkStart w:id="388" w:name="_Toc17197759"/>
      <w:bookmarkStart w:id="389" w:name="_Toc4564"/>
      <w:bookmarkStart w:id="390" w:name="_Toc171581547"/>
      <w:bookmarkStart w:id="391" w:name="_Toc31729"/>
      <w:bookmarkStart w:id="392" w:name="_Toc4184"/>
      <w:bookmarkStart w:id="393" w:name="_Toc171581367"/>
      <w:bookmarkStart w:id="394" w:name="_Toc6020"/>
      <w:r>
        <w:rPr>
          <w:rFonts w:hint="eastAsia" w:hAnsi="宋体" w:cs="宋体"/>
          <w:b/>
          <w:color w:val="auto"/>
          <w:sz w:val="30"/>
          <w:szCs w:val="30"/>
        </w:rPr>
        <w:t>法定代表人身份证明书</w:t>
      </w:r>
      <w:bookmarkEnd w:id="386"/>
      <w:bookmarkEnd w:id="387"/>
      <w:bookmarkEnd w:id="388"/>
      <w:bookmarkEnd w:id="389"/>
      <w:bookmarkEnd w:id="390"/>
      <w:bookmarkEnd w:id="391"/>
      <w:bookmarkEnd w:id="392"/>
      <w:bookmarkEnd w:id="393"/>
      <w:bookmarkEnd w:id="394"/>
    </w:p>
    <w:p>
      <w:pPr>
        <w:adjustRightInd w:val="0"/>
        <w:snapToGrid w:val="0"/>
        <w:spacing w:beforeLines="20" w:afterLines="20" w:line="540" w:lineRule="exact"/>
        <w:ind w:left="423" w:leftChars="200" w:hanging="3"/>
        <w:jc w:val="center"/>
        <w:rPr>
          <w:rFonts w:ascii="宋体" w:hAnsi="宋体" w:cs="宋体"/>
          <w:b/>
          <w:sz w:val="36"/>
        </w:rPr>
      </w:pPr>
    </w:p>
    <w:p>
      <w:pPr>
        <w:adjustRightInd w:val="0"/>
        <w:snapToGrid w:val="0"/>
        <w:spacing w:beforeLines="20" w:afterLines="20" w:line="540" w:lineRule="exact"/>
        <w:ind w:left="423" w:leftChars="200" w:hanging="3"/>
        <w:rPr>
          <w:rFonts w:ascii="宋体" w:hAnsi="宋体" w:cs="宋体"/>
          <w:b/>
        </w:rPr>
      </w:pPr>
    </w:p>
    <w:p>
      <w:pPr>
        <w:adjustRightInd w:val="0"/>
        <w:snapToGrid w:val="0"/>
        <w:spacing w:beforeLines="20" w:afterLines="20" w:line="540" w:lineRule="exact"/>
        <w:ind w:left="423" w:leftChars="200" w:hanging="3"/>
        <w:rPr>
          <w:rFonts w:ascii="宋体" w:hAnsi="宋体" w:cs="宋体"/>
        </w:rPr>
      </w:pPr>
      <w:r>
        <w:rPr>
          <w:rFonts w:hint="eastAsia" w:ascii="宋体" w:hAnsi="宋体" w:cs="宋体"/>
        </w:rPr>
        <w:t>单位名称：</w:t>
      </w:r>
    </w:p>
    <w:p>
      <w:pPr>
        <w:adjustRightInd w:val="0"/>
        <w:snapToGrid w:val="0"/>
        <w:spacing w:beforeLines="20" w:afterLines="20" w:line="540" w:lineRule="exact"/>
        <w:ind w:left="423" w:leftChars="200" w:hanging="3"/>
        <w:rPr>
          <w:rFonts w:ascii="宋体" w:hAnsi="宋体" w:cs="宋体"/>
          <w:u w:val="single"/>
        </w:rPr>
      </w:pPr>
      <w:r>
        <w:rPr>
          <w:rFonts w:hint="eastAsia" w:ascii="宋体" w:hAnsi="宋体" w:cs="宋体"/>
        </w:rPr>
        <w:t>单位性质：</w:t>
      </w:r>
    </w:p>
    <w:p>
      <w:pPr>
        <w:adjustRightInd w:val="0"/>
        <w:snapToGrid w:val="0"/>
        <w:spacing w:beforeLines="20" w:afterLines="20" w:line="540" w:lineRule="exact"/>
        <w:ind w:left="423" w:leftChars="200" w:hanging="3"/>
        <w:rPr>
          <w:rFonts w:ascii="宋体" w:hAnsi="宋体" w:cs="宋体"/>
        </w:rPr>
      </w:pPr>
      <w:r>
        <w:rPr>
          <w:rFonts w:hint="eastAsia" w:ascii="宋体" w:hAnsi="宋体" w:cs="宋体"/>
        </w:rPr>
        <w:t>地    址：</w:t>
      </w:r>
      <w:r>
        <w:rPr>
          <w:rFonts w:hint="eastAsia" w:ascii="宋体" w:hAnsi="宋体" w:cs="宋体"/>
          <w:u w:val="single"/>
        </w:rPr>
        <w:tab/>
      </w:r>
      <w:r>
        <w:rPr>
          <w:rFonts w:hint="eastAsia" w:ascii="宋体" w:hAnsi="宋体" w:cs="宋体"/>
          <w:u w:val="single"/>
        </w:rPr>
        <w:tab/>
      </w:r>
      <w:r>
        <w:rPr>
          <w:rFonts w:hint="eastAsia" w:ascii="宋体" w:hAnsi="宋体" w:cs="宋体"/>
          <w:u w:val="single"/>
        </w:rPr>
        <w:tab/>
      </w:r>
      <w:r>
        <w:rPr>
          <w:rFonts w:hint="eastAsia" w:ascii="宋体" w:hAnsi="宋体" w:cs="宋体"/>
          <w:u w:val="single"/>
        </w:rPr>
        <w:tab/>
      </w:r>
      <w:r>
        <w:rPr>
          <w:rFonts w:hint="eastAsia" w:ascii="宋体" w:hAnsi="宋体" w:cs="宋体"/>
          <w:u w:val="single"/>
        </w:rPr>
        <w:tab/>
      </w:r>
      <w:r>
        <w:rPr>
          <w:rFonts w:hint="eastAsia" w:ascii="宋体" w:hAnsi="宋体" w:cs="宋体"/>
          <w:u w:val="single"/>
        </w:rPr>
        <w:tab/>
      </w:r>
      <w:r>
        <w:rPr>
          <w:rFonts w:hint="eastAsia" w:ascii="宋体" w:hAnsi="宋体" w:cs="宋体"/>
          <w:u w:val="single"/>
        </w:rPr>
        <w:tab/>
      </w:r>
      <w:r>
        <w:rPr>
          <w:rFonts w:hint="eastAsia" w:ascii="宋体" w:hAnsi="宋体" w:cs="宋体"/>
          <w:u w:val="single"/>
        </w:rPr>
        <w:tab/>
      </w:r>
      <w:r>
        <w:rPr>
          <w:rFonts w:hint="eastAsia" w:ascii="宋体" w:hAnsi="宋体" w:cs="宋体"/>
          <w:u w:val="single"/>
        </w:rPr>
        <w:tab/>
      </w:r>
    </w:p>
    <w:p>
      <w:pPr>
        <w:adjustRightInd w:val="0"/>
        <w:snapToGrid w:val="0"/>
        <w:spacing w:beforeLines="20" w:afterLines="20" w:line="540" w:lineRule="exact"/>
        <w:ind w:left="423" w:leftChars="200" w:hanging="3"/>
        <w:rPr>
          <w:rFonts w:ascii="宋体" w:hAnsi="宋体" w:cs="宋体"/>
        </w:rPr>
      </w:pPr>
      <w:r>
        <w:rPr>
          <w:rFonts w:hint="eastAsia" w:ascii="宋体" w:hAnsi="宋体" w:cs="宋体"/>
        </w:rPr>
        <w:t>成立时间： 年 月 日</w:t>
      </w:r>
    </w:p>
    <w:p>
      <w:pPr>
        <w:adjustRightInd w:val="0"/>
        <w:snapToGrid w:val="0"/>
        <w:spacing w:beforeLines="20" w:afterLines="20" w:line="540" w:lineRule="exact"/>
        <w:ind w:left="423" w:leftChars="200" w:hanging="3"/>
        <w:rPr>
          <w:rFonts w:ascii="宋体" w:hAnsi="宋体" w:cs="宋体"/>
        </w:rPr>
      </w:pPr>
      <w:r>
        <w:rPr>
          <w:rFonts w:hint="eastAsia" w:ascii="宋体" w:hAnsi="宋体" w:cs="宋体"/>
        </w:rPr>
        <w:t>经营期限：</w:t>
      </w:r>
      <w:r>
        <w:rPr>
          <w:rFonts w:hint="eastAsia" w:ascii="宋体" w:hAnsi="宋体" w:cs="宋体"/>
        </w:rPr>
        <w:tab/>
      </w:r>
    </w:p>
    <w:p>
      <w:pPr>
        <w:adjustRightInd w:val="0"/>
        <w:snapToGrid w:val="0"/>
        <w:spacing w:beforeLines="20" w:afterLines="20" w:line="540" w:lineRule="exact"/>
        <w:ind w:left="423" w:leftChars="200" w:hanging="3"/>
        <w:rPr>
          <w:rFonts w:ascii="宋体" w:hAnsi="宋体" w:cs="宋体"/>
          <w:u w:val="single"/>
        </w:rPr>
      </w:pPr>
      <w:r>
        <w:rPr>
          <w:rFonts w:hint="eastAsia" w:ascii="宋体" w:hAnsi="宋体" w:cs="宋体"/>
        </w:rPr>
        <w:t>姓    名：   性别：</w:t>
      </w:r>
    </w:p>
    <w:p>
      <w:pPr>
        <w:adjustRightInd w:val="0"/>
        <w:snapToGrid w:val="0"/>
        <w:spacing w:beforeLines="20" w:afterLines="20" w:line="540" w:lineRule="exact"/>
        <w:ind w:left="423" w:leftChars="200" w:hanging="3"/>
        <w:rPr>
          <w:rFonts w:ascii="宋体" w:hAnsi="宋体" w:cs="宋体"/>
          <w:u w:val="single"/>
        </w:rPr>
      </w:pPr>
      <w:r>
        <w:rPr>
          <w:rFonts w:hint="eastAsia" w:ascii="宋体" w:hAnsi="宋体" w:cs="宋体"/>
        </w:rPr>
        <w:t>年    龄：   职务：</w:t>
      </w:r>
      <w:r>
        <w:rPr>
          <w:rFonts w:hint="eastAsia" w:ascii="宋体" w:hAnsi="宋体" w:cs="宋体"/>
        </w:rPr>
        <w:tab/>
      </w:r>
    </w:p>
    <w:p>
      <w:pPr>
        <w:adjustRightInd w:val="0"/>
        <w:snapToGrid w:val="0"/>
        <w:spacing w:beforeLines="20" w:afterLines="20" w:line="540" w:lineRule="exact"/>
        <w:ind w:left="423" w:leftChars="200" w:hanging="3"/>
        <w:rPr>
          <w:rFonts w:ascii="宋体" w:hAnsi="宋体" w:cs="宋体"/>
        </w:rPr>
      </w:pPr>
      <w:r>
        <w:rPr>
          <w:rFonts w:hint="eastAsia" w:ascii="宋体" w:hAnsi="宋体" w:cs="宋体"/>
        </w:rPr>
        <w:t xml:space="preserve">系  </w:t>
      </w:r>
      <w:r>
        <w:rPr>
          <w:rFonts w:hint="eastAsia" w:ascii="宋体" w:hAnsi="宋体" w:cs="宋体"/>
          <w:u w:val="single"/>
        </w:rPr>
        <w:t xml:space="preserve">        （投标人单位名称）        </w:t>
      </w:r>
      <w:r>
        <w:rPr>
          <w:rFonts w:hint="eastAsia" w:ascii="宋体" w:hAnsi="宋体" w:cs="宋体"/>
        </w:rPr>
        <w:t xml:space="preserve"> 的法定代表人。</w:t>
      </w:r>
    </w:p>
    <w:p>
      <w:pPr>
        <w:adjustRightInd w:val="0"/>
        <w:snapToGrid w:val="0"/>
        <w:spacing w:beforeLines="20" w:afterLines="20" w:line="540" w:lineRule="exact"/>
        <w:ind w:left="423" w:leftChars="200" w:hanging="3"/>
        <w:rPr>
          <w:rFonts w:ascii="宋体" w:hAnsi="宋体" w:cs="宋体"/>
        </w:rPr>
      </w:pPr>
    </w:p>
    <w:p>
      <w:pPr>
        <w:pStyle w:val="10"/>
        <w:adjustRightInd w:val="0"/>
        <w:snapToGrid w:val="0"/>
        <w:spacing w:beforeLines="20" w:afterLines="20" w:line="540" w:lineRule="exact"/>
        <w:ind w:left="423" w:leftChars="200" w:hanging="3"/>
        <w:outlineLvl w:val="1"/>
        <w:rPr>
          <w:rFonts w:ascii="宋体" w:hAnsi="宋体" w:cs="宋体"/>
        </w:rPr>
      </w:pPr>
      <w:bookmarkStart w:id="395" w:name="_Toc30199"/>
      <w:bookmarkStart w:id="396" w:name="_Toc12656"/>
      <w:bookmarkStart w:id="397" w:name="_Toc63"/>
      <w:bookmarkStart w:id="398" w:name="_Toc30762"/>
      <w:bookmarkStart w:id="399" w:name="_Toc2054"/>
      <w:r>
        <w:rPr>
          <w:rFonts w:hint="eastAsia" w:ascii="宋体" w:hAnsi="宋体" w:cs="宋体"/>
        </w:rPr>
        <w:t>特此证明。</w:t>
      </w:r>
      <w:bookmarkEnd w:id="395"/>
      <w:bookmarkEnd w:id="396"/>
      <w:bookmarkEnd w:id="397"/>
      <w:bookmarkEnd w:id="398"/>
      <w:bookmarkEnd w:id="399"/>
    </w:p>
    <w:p>
      <w:pPr>
        <w:tabs>
          <w:tab w:val="left" w:pos="720"/>
          <w:tab w:val="left" w:pos="900"/>
        </w:tabs>
        <w:adjustRightInd w:val="0"/>
        <w:snapToGrid w:val="0"/>
        <w:spacing w:beforeLines="20" w:afterLines="20" w:line="540" w:lineRule="exact"/>
        <w:ind w:left="423" w:leftChars="200" w:hanging="3"/>
        <w:rPr>
          <w:rFonts w:ascii="宋体" w:hAnsi="宋体" w:cs="宋体"/>
        </w:rPr>
      </w:pPr>
    </w:p>
    <w:p>
      <w:pPr>
        <w:tabs>
          <w:tab w:val="left" w:pos="720"/>
          <w:tab w:val="left" w:pos="900"/>
        </w:tabs>
        <w:adjustRightInd w:val="0"/>
        <w:snapToGrid w:val="0"/>
        <w:spacing w:beforeLines="20" w:afterLines="20" w:line="540" w:lineRule="exact"/>
        <w:ind w:left="423" w:leftChars="200" w:hanging="3"/>
        <w:rPr>
          <w:rFonts w:ascii="宋体" w:hAnsi="宋体" w:cs="宋体"/>
        </w:rPr>
      </w:pPr>
    </w:p>
    <w:p>
      <w:pPr>
        <w:tabs>
          <w:tab w:val="left" w:pos="720"/>
          <w:tab w:val="left" w:pos="900"/>
        </w:tabs>
        <w:adjustRightInd w:val="0"/>
        <w:snapToGrid w:val="0"/>
        <w:spacing w:beforeLines="20" w:afterLines="20" w:line="540" w:lineRule="exact"/>
        <w:ind w:left="423" w:leftChars="200" w:hanging="3"/>
        <w:rPr>
          <w:rFonts w:ascii="宋体" w:hAnsi="宋体" w:cs="宋体"/>
        </w:rPr>
      </w:pPr>
    </w:p>
    <w:p>
      <w:pPr>
        <w:tabs>
          <w:tab w:val="left" w:pos="720"/>
          <w:tab w:val="left" w:pos="900"/>
        </w:tabs>
        <w:adjustRightInd w:val="0"/>
        <w:snapToGrid w:val="0"/>
        <w:spacing w:beforeLines="20" w:afterLines="20" w:line="540" w:lineRule="exact"/>
        <w:ind w:left="423" w:leftChars="200" w:hanging="3"/>
        <w:rPr>
          <w:rFonts w:ascii="宋体" w:hAnsi="宋体" w:cs="宋体"/>
        </w:rPr>
      </w:pPr>
      <w:r>
        <w:rPr>
          <w:rFonts w:hint="eastAsia" w:ascii="宋体" w:hAnsi="宋体" w:cs="宋体"/>
        </w:rPr>
        <w:t>投标人：</w:t>
      </w:r>
      <w:r>
        <w:rPr>
          <w:rFonts w:hint="eastAsia" w:ascii="宋体" w:hAnsi="宋体" w:cs="宋体"/>
          <w:u w:val="single"/>
        </w:rPr>
        <w:t xml:space="preserve">             （盖公章）</w:t>
      </w:r>
    </w:p>
    <w:p>
      <w:pPr>
        <w:adjustRightInd w:val="0"/>
        <w:snapToGrid w:val="0"/>
        <w:spacing w:beforeLines="20" w:afterLines="20" w:line="540" w:lineRule="exact"/>
        <w:ind w:left="423" w:leftChars="200" w:hanging="3"/>
        <w:rPr>
          <w:rFonts w:ascii="宋体" w:hAnsi="宋体" w:cs="宋体"/>
          <w:b/>
        </w:rPr>
      </w:pPr>
      <w:r>
        <w:rPr>
          <w:rFonts w:hint="eastAsia" w:ascii="宋体" w:hAnsi="宋体" w:cs="宋体"/>
        </w:rPr>
        <w:t>日  期：年月日</w:t>
      </w:r>
    </w:p>
    <w:p>
      <w:pPr>
        <w:adjustRightInd w:val="0"/>
        <w:snapToGrid w:val="0"/>
        <w:spacing w:line="360" w:lineRule="auto"/>
        <w:ind w:left="423" w:leftChars="200" w:hanging="3"/>
        <w:rPr>
          <w:rFonts w:ascii="宋体" w:hAnsi="宋体" w:cs="宋体"/>
          <w:b/>
          <w:sz w:val="22"/>
          <w:szCs w:val="28"/>
        </w:rPr>
      </w:pPr>
    </w:p>
    <w:p>
      <w:pPr>
        <w:adjustRightInd w:val="0"/>
        <w:snapToGrid w:val="0"/>
        <w:spacing w:line="360" w:lineRule="auto"/>
        <w:ind w:left="423" w:leftChars="200" w:hanging="3"/>
        <w:rPr>
          <w:rFonts w:ascii="宋体" w:hAnsi="宋体" w:cs="宋体"/>
          <w:b/>
          <w:sz w:val="22"/>
          <w:szCs w:val="28"/>
        </w:rPr>
      </w:pPr>
    </w:p>
    <w:p>
      <w:pPr>
        <w:adjustRightInd w:val="0"/>
        <w:snapToGrid w:val="0"/>
        <w:spacing w:line="360" w:lineRule="auto"/>
        <w:ind w:left="423" w:leftChars="200" w:hanging="3"/>
        <w:rPr>
          <w:rFonts w:ascii="宋体" w:hAnsi="宋体" w:cs="宋体"/>
          <w:b/>
          <w:sz w:val="22"/>
          <w:szCs w:val="28"/>
        </w:rPr>
      </w:pPr>
    </w:p>
    <w:p>
      <w:pPr>
        <w:adjustRightInd w:val="0"/>
        <w:snapToGrid w:val="0"/>
        <w:rPr>
          <w:rFonts w:ascii="宋体" w:hAnsi="宋体" w:cs="宋体"/>
          <w:b/>
          <w:sz w:val="28"/>
          <w:szCs w:val="28"/>
        </w:rPr>
      </w:pPr>
      <w:bookmarkStart w:id="400" w:name="_Toc438193090"/>
      <w:r>
        <w:rPr>
          <w:rFonts w:hint="eastAsia" w:ascii="宋体" w:hAnsi="宋体" w:cs="宋体"/>
          <w:b/>
          <w:sz w:val="28"/>
          <w:szCs w:val="28"/>
        </w:rPr>
        <w:br w:type="page"/>
      </w:r>
    </w:p>
    <w:p>
      <w:pPr>
        <w:adjustRightInd w:val="0"/>
        <w:snapToGrid w:val="0"/>
        <w:spacing w:line="360" w:lineRule="auto"/>
        <w:ind w:left="423" w:leftChars="200" w:hanging="3"/>
        <w:rPr>
          <w:rFonts w:ascii="宋体" w:hAnsi="宋体" w:cs="宋体"/>
          <w:b/>
          <w:sz w:val="28"/>
          <w:szCs w:val="32"/>
        </w:rPr>
      </w:pPr>
      <w:r>
        <w:rPr>
          <w:rFonts w:hint="eastAsia" w:ascii="宋体" w:hAnsi="宋体" w:cs="宋体"/>
          <w:b/>
          <w:sz w:val="28"/>
          <w:szCs w:val="28"/>
        </w:rPr>
        <w:t>附件</w:t>
      </w:r>
    </w:p>
    <w:p>
      <w:pPr>
        <w:adjustRightInd w:val="0"/>
        <w:snapToGrid w:val="0"/>
        <w:spacing w:line="360" w:lineRule="auto"/>
        <w:ind w:left="423" w:leftChars="200" w:hanging="3"/>
        <w:jc w:val="center"/>
        <w:outlineLvl w:val="0"/>
        <w:rPr>
          <w:rFonts w:ascii="宋体" w:hAnsi="宋体" w:cs="宋体"/>
          <w:b/>
          <w:sz w:val="24"/>
          <w:szCs w:val="30"/>
        </w:rPr>
      </w:pPr>
      <w:bookmarkStart w:id="401" w:name="_Toc14069"/>
      <w:bookmarkStart w:id="402" w:name="_Toc13020"/>
      <w:bookmarkStart w:id="403" w:name="_Toc25206"/>
      <w:bookmarkStart w:id="404" w:name="_Toc22942"/>
      <w:bookmarkStart w:id="405" w:name="_Toc30390"/>
      <w:r>
        <w:rPr>
          <w:rFonts w:hint="eastAsia" w:ascii="宋体" w:hAnsi="宋体" w:cs="宋体"/>
          <w:b/>
          <w:sz w:val="24"/>
          <w:szCs w:val="30"/>
        </w:rPr>
        <w:t>投 标 函</w:t>
      </w:r>
      <w:bookmarkEnd w:id="400"/>
      <w:bookmarkEnd w:id="401"/>
      <w:bookmarkEnd w:id="402"/>
      <w:bookmarkEnd w:id="403"/>
      <w:bookmarkEnd w:id="404"/>
      <w:bookmarkEnd w:id="405"/>
    </w:p>
    <w:p>
      <w:pPr>
        <w:tabs>
          <w:tab w:val="left" w:pos="7560"/>
        </w:tabs>
        <w:adjustRightInd w:val="0"/>
        <w:snapToGrid w:val="0"/>
        <w:spacing w:beforeLines="20" w:afterLines="20" w:line="360" w:lineRule="auto"/>
        <w:ind w:firstLine="420" w:firstLineChars="200"/>
        <w:rPr>
          <w:rFonts w:ascii="宋体" w:hAnsi="宋体" w:cs="宋体"/>
        </w:rPr>
      </w:pPr>
      <w:r>
        <w:rPr>
          <w:rFonts w:hint="eastAsia" w:ascii="宋体" w:hAnsi="宋体" w:cs="宋体"/>
        </w:rPr>
        <w:t>1.根据你方招标工程项目编号为{项目编号}的</w:t>
      </w:r>
      <w:r>
        <w:rPr>
          <w:rFonts w:hint="eastAsia" w:ascii="宋体" w:hAnsi="宋体" w:cs="宋体"/>
          <w:u w:val="single"/>
        </w:rPr>
        <w:t xml:space="preserve">  {招标工程项目名称}  </w:t>
      </w:r>
      <w:r>
        <w:rPr>
          <w:rFonts w:hint="eastAsia" w:ascii="宋体" w:hAnsi="宋体" w:cs="宋体"/>
        </w:rPr>
        <w:t>工程招标文件，遵照《中华人民共和国招标投标法》等有关规定，经踏勘项目现场和研究上述招标文件的投标须知、合同条款、图纸和工程建设技术标准及其他有关文件后，我方接受上述文件要求，并对工程量清单及控制价无异议。我方愿以人民币（大写）</w:t>
      </w:r>
      <w:r>
        <w:rPr>
          <w:rFonts w:hint="eastAsia" w:ascii="宋体" w:hAnsi="宋体" w:cs="宋体"/>
          <w:u w:val="single"/>
        </w:rPr>
        <w:t>　　　　　　　元（小写　　　　　　　元）</w:t>
      </w:r>
      <w:r>
        <w:rPr>
          <w:rFonts w:hint="eastAsia" w:ascii="宋体" w:hAnsi="宋体" w:cs="宋体"/>
        </w:rPr>
        <w:t>的投标总报价，并承诺按本招标文件、施工图纸、合同条款和工程建设技术标准的条件、承担上述工程的施工、竣工，并承担任何质量缺陷保修责任。</w:t>
      </w:r>
    </w:p>
    <w:p>
      <w:pPr>
        <w:adjustRightInd w:val="0"/>
        <w:snapToGrid w:val="0"/>
        <w:spacing w:line="360" w:lineRule="auto"/>
        <w:ind w:left="420" w:leftChars="200"/>
        <w:rPr>
          <w:rFonts w:ascii="宋体" w:hAnsi="宋体" w:cs="宋体"/>
        </w:rPr>
      </w:pPr>
      <w:r>
        <w:rPr>
          <w:rFonts w:hint="eastAsia" w:ascii="宋体" w:hAnsi="宋体" w:cs="宋体"/>
        </w:rPr>
        <w:t>2. 我方的投标文件包括下列内容：</w:t>
      </w:r>
    </w:p>
    <w:p>
      <w:pPr>
        <w:adjustRightInd w:val="0"/>
        <w:snapToGrid w:val="0"/>
        <w:spacing w:line="360" w:lineRule="auto"/>
        <w:ind w:left="420" w:leftChars="200"/>
        <w:outlineLvl w:val="0"/>
        <w:rPr>
          <w:rFonts w:ascii="宋体" w:hAnsi="宋体" w:cs="宋体"/>
        </w:rPr>
      </w:pPr>
      <w:bookmarkStart w:id="406" w:name="_Toc22299"/>
      <w:bookmarkStart w:id="407" w:name="_Toc1535"/>
      <w:bookmarkStart w:id="408" w:name="_Toc3803"/>
      <w:bookmarkStart w:id="409" w:name="_Toc31261"/>
      <w:r>
        <w:rPr>
          <w:rFonts w:hint="eastAsia" w:ascii="宋体" w:hAnsi="宋体" w:cs="宋体"/>
        </w:rPr>
        <w:t>（1）投标函（投标函附录）；</w:t>
      </w:r>
      <w:bookmarkEnd w:id="406"/>
      <w:bookmarkEnd w:id="407"/>
      <w:bookmarkEnd w:id="408"/>
      <w:bookmarkEnd w:id="409"/>
    </w:p>
    <w:p>
      <w:pPr>
        <w:adjustRightInd w:val="0"/>
        <w:snapToGrid w:val="0"/>
        <w:spacing w:line="360" w:lineRule="auto"/>
        <w:ind w:left="420" w:leftChars="200"/>
        <w:outlineLvl w:val="0"/>
        <w:rPr>
          <w:rFonts w:ascii="宋体" w:hAnsi="宋体" w:cs="宋体"/>
        </w:rPr>
      </w:pPr>
      <w:bookmarkStart w:id="410" w:name="_Toc11584"/>
      <w:bookmarkStart w:id="411" w:name="_Toc11716"/>
      <w:bookmarkStart w:id="412" w:name="_Toc20216"/>
      <w:bookmarkStart w:id="413" w:name="_Toc5900"/>
      <w:r>
        <w:rPr>
          <w:rFonts w:hint="eastAsia" w:ascii="宋体" w:hAnsi="宋体" w:cs="宋体"/>
        </w:rPr>
        <w:t>（2）法定代表人身份证明或授权委托书；</w:t>
      </w:r>
      <w:bookmarkEnd w:id="410"/>
      <w:bookmarkEnd w:id="411"/>
      <w:bookmarkEnd w:id="412"/>
      <w:bookmarkEnd w:id="413"/>
    </w:p>
    <w:p>
      <w:pPr>
        <w:adjustRightInd w:val="0"/>
        <w:snapToGrid w:val="0"/>
        <w:spacing w:line="360" w:lineRule="auto"/>
        <w:ind w:left="420" w:leftChars="200"/>
        <w:outlineLvl w:val="0"/>
        <w:rPr>
          <w:rFonts w:ascii="宋体" w:hAnsi="宋体" w:cs="宋体"/>
        </w:rPr>
      </w:pPr>
      <w:bookmarkStart w:id="414" w:name="_Toc15552"/>
      <w:bookmarkStart w:id="415" w:name="_Toc10393"/>
      <w:bookmarkStart w:id="416" w:name="_Toc2765"/>
      <w:bookmarkStart w:id="417" w:name="_Toc7352"/>
      <w:r>
        <w:rPr>
          <w:rFonts w:hint="eastAsia" w:ascii="宋体" w:hAnsi="宋体" w:cs="宋体"/>
        </w:rPr>
        <w:t>（3）联合体协议书（如有）；</w:t>
      </w:r>
      <w:bookmarkEnd w:id="414"/>
      <w:bookmarkEnd w:id="415"/>
      <w:bookmarkEnd w:id="416"/>
      <w:bookmarkEnd w:id="417"/>
    </w:p>
    <w:p>
      <w:pPr>
        <w:adjustRightInd w:val="0"/>
        <w:snapToGrid w:val="0"/>
        <w:spacing w:line="360" w:lineRule="auto"/>
        <w:ind w:left="420" w:leftChars="200"/>
        <w:outlineLvl w:val="0"/>
        <w:rPr>
          <w:rFonts w:ascii="宋体" w:hAnsi="宋体" w:cs="宋体"/>
        </w:rPr>
      </w:pPr>
      <w:bookmarkStart w:id="418" w:name="_Toc28227"/>
      <w:bookmarkStart w:id="419" w:name="_Toc20429"/>
      <w:bookmarkStart w:id="420" w:name="_Toc14722"/>
      <w:bookmarkStart w:id="421" w:name="_Toc3558"/>
      <w:r>
        <w:rPr>
          <w:rFonts w:hint="eastAsia" w:ascii="宋体" w:hAnsi="宋体" w:cs="宋体"/>
        </w:rPr>
        <w:t>（4）投标保证金（如有）；</w:t>
      </w:r>
      <w:bookmarkEnd w:id="418"/>
      <w:bookmarkEnd w:id="419"/>
      <w:bookmarkEnd w:id="420"/>
      <w:bookmarkEnd w:id="421"/>
    </w:p>
    <w:p>
      <w:pPr>
        <w:adjustRightInd w:val="0"/>
        <w:snapToGrid w:val="0"/>
        <w:spacing w:line="360" w:lineRule="auto"/>
        <w:ind w:left="420" w:leftChars="200"/>
        <w:outlineLvl w:val="0"/>
        <w:rPr>
          <w:rFonts w:ascii="宋体" w:hAnsi="宋体" w:cs="宋体"/>
        </w:rPr>
      </w:pPr>
      <w:bookmarkStart w:id="422" w:name="_Toc24646"/>
      <w:bookmarkStart w:id="423" w:name="_Toc27353"/>
      <w:bookmarkStart w:id="424" w:name="_Toc15159"/>
      <w:bookmarkStart w:id="425" w:name="_Toc10824"/>
      <w:r>
        <w:rPr>
          <w:rFonts w:hint="eastAsia" w:ascii="宋体" w:hAnsi="宋体" w:cs="宋体"/>
        </w:rPr>
        <w:t>（5）报酬清单；</w:t>
      </w:r>
      <w:bookmarkEnd w:id="422"/>
      <w:bookmarkEnd w:id="423"/>
      <w:bookmarkEnd w:id="424"/>
      <w:bookmarkEnd w:id="425"/>
    </w:p>
    <w:p>
      <w:pPr>
        <w:adjustRightInd w:val="0"/>
        <w:snapToGrid w:val="0"/>
        <w:spacing w:line="360" w:lineRule="auto"/>
        <w:ind w:left="420" w:leftChars="200"/>
        <w:outlineLvl w:val="0"/>
        <w:rPr>
          <w:rFonts w:ascii="宋体" w:hAnsi="宋体" w:cs="宋体"/>
        </w:rPr>
      </w:pPr>
      <w:bookmarkStart w:id="426" w:name="_Toc12776"/>
      <w:bookmarkStart w:id="427" w:name="_Toc20704"/>
      <w:bookmarkStart w:id="428" w:name="_Toc31780"/>
      <w:bookmarkStart w:id="429" w:name="_Toc30116"/>
      <w:r>
        <w:rPr>
          <w:rFonts w:hint="eastAsia" w:ascii="宋体" w:hAnsi="宋体" w:cs="宋体"/>
        </w:rPr>
        <w:t>（6）资格审查资料；</w:t>
      </w:r>
      <w:bookmarkEnd w:id="426"/>
      <w:bookmarkEnd w:id="427"/>
      <w:bookmarkEnd w:id="428"/>
      <w:bookmarkEnd w:id="429"/>
    </w:p>
    <w:p>
      <w:pPr>
        <w:adjustRightInd w:val="0"/>
        <w:snapToGrid w:val="0"/>
        <w:spacing w:line="360" w:lineRule="auto"/>
        <w:ind w:left="420" w:leftChars="200"/>
        <w:rPr>
          <w:rFonts w:ascii="宋体" w:hAnsi="宋体" w:cs="宋体"/>
        </w:rPr>
      </w:pPr>
      <w:r>
        <w:rPr>
          <w:rFonts w:hint="eastAsia" w:ascii="宋体" w:hAnsi="宋体" w:cs="宋体"/>
        </w:rPr>
        <w:t>……</w:t>
      </w:r>
    </w:p>
    <w:p>
      <w:pPr>
        <w:adjustRightInd w:val="0"/>
        <w:snapToGrid w:val="0"/>
        <w:spacing w:line="360" w:lineRule="auto"/>
        <w:ind w:left="420" w:leftChars="200"/>
        <w:rPr>
          <w:rFonts w:ascii="宋体" w:hAnsi="宋体" w:cs="宋体"/>
        </w:rPr>
      </w:pPr>
      <w:r>
        <w:rPr>
          <w:rFonts w:hint="eastAsia" w:ascii="宋体" w:hAnsi="宋体" w:cs="宋体"/>
        </w:rPr>
        <w:t>投标文件的上述组成部分如存在内容不一致的，以投标函为准。</w:t>
      </w:r>
    </w:p>
    <w:p>
      <w:pPr>
        <w:adjustRightInd w:val="0"/>
        <w:snapToGrid w:val="0"/>
        <w:spacing w:line="360" w:lineRule="auto"/>
        <w:ind w:left="420" w:leftChars="200"/>
        <w:rPr>
          <w:rFonts w:ascii="宋体" w:hAnsi="宋体" w:cs="宋体"/>
        </w:rPr>
      </w:pPr>
      <w:r>
        <w:rPr>
          <w:rFonts w:hint="eastAsia" w:ascii="宋体" w:hAnsi="宋体" w:cs="宋体"/>
        </w:rPr>
        <w:t>3．我方承诺在招标文件规定的投标有效期内不撤销投标文件。</w:t>
      </w:r>
    </w:p>
    <w:p>
      <w:pPr>
        <w:adjustRightInd w:val="0"/>
        <w:snapToGrid w:val="0"/>
        <w:spacing w:line="360" w:lineRule="auto"/>
        <w:ind w:left="420" w:leftChars="200"/>
        <w:rPr>
          <w:rFonts w:ascii="宋体" w:hAnsi="宋体" w:cs="宋体"/>
        </w:rPr>
      </w:pPr>
      <w:r>
        <w:rPr>
          <w:rFonts w:hint="eastAsia" w:ascii="宋体" w:hAnsi="宋体" w:cs="宋体"/>
        </w:rPr>
        <w:t>4．如我方中标，我方承诺：</w:t>
      </w:r>
    </w:p>
    <w:p>
      <w:pPr>
        <w:adjustRightInd w:val="0"/>
        <w:snapToGrid w:val="0"/>
        <w:spacing w:line="360" w:lineRule="auto"/>
        <w:ind w:left="420" w:leftChars="200"/>
        <w:rPr>
          <w:rFonts w:ascii="宋体" w:hAnsi="宋体" w:cs="宋体"/>
        </w:rPr>
      </w:pPr>
      <w:r>
        <w:rPr>
          <w:rFonts w:hint="eastAsia" w:ascii="宋体" w:hAnsi="宋体" w:cs="宋体"/>
        </w:rPr>
        <w:t>（1）在收到中标通知书后，在中标通知书规定的期限内与你方签订合同；</w:t>
      </w:r>
    </w:p>
    <w:p>
      <w:pPr>
        <w:adjustRightInd w:val="0"/>
        <w:snapToGrid w:val="0"/>
        <w:spacing w:line="360" w:lineRule="auto"/>
        <w:ind w:left="420" w:leftChars="200"/>
        <w:rPr>
          <w:rFonts w:ascii="宋体" w:hAnsi="宋体" w:cs="宋体"/>
        </w:rPr>
      </w:pPr>
      <w:r>
        <w:rPr>
          <w:rFonts w:hint="eastAsia" w:ascii="宋体" w:hAnsi="宋体" w:cs="宋体"/>
        </w:rPr>
        <w:t>（2）在签订合同时不向你方提出附加条件；</w:t>
      </w:r>
    </w:p>
    <w:p>
      <w:pPr>
        <w:adjustRightInd w:val="0"/>
        <w:snapToGrid w:val="0"/>
        <w:spacing w:line="360" w:lineRule="auto"/>
        <w:ind w:left="420" w:leftChars="200"/>
        <w:rPr>
          <w:rFonts w:ascii="宋体" w:hAnsi="宋体" w:cs="宋体"/>
        </w:rPr>
      </w:pPr>
      <w:r>
        <w:rPr>
          <w:rFonts w:hint="eastAsia" w:ascii="宋体" w:hAnsi="宋体" w:cs="宋体"/>
        </w:rPr>
        <w:t>（3）按照招标文件要求提交履约保证金；</w:t>
      </w:r>
    </w:p>
    <w:p>
      <w:pPr>
        <w:numPr>
          <w:ilvl w:val="0"/>
          <w:numId w:val="9"/>
        </w:numPr>
        <w:adjustRightInd w:val="0"/>
        <w:snapToGrid w:val="0"/>
        <w:spacing w:line="360" w:lineRule="auto"/>
        <w:ind w:left="420" w:leftChars="200"/>
        <w:rPr>
          <w:rFonts w:ascii="宋体" w:hAnsi="宋体" w:cs="宋体"/>
        </w:rPr>
      </w:pPr>
      <w:r>
        <w:rPr>
          <w:rFonts w:hint="eastAsia" w:ascii="宋体" w:hAnsi="宋体" w:cs="宋体"/>
        </w:rPr>
        <w:t>在合同约定的期限内完成合同规定的全部义务。</w:t>
      </w:r>
    </w:p>
    <w:p>
      <w:pPr>
        <w:numPr>
          <w:ilvl w:val="0"/>
          <w:numId w:val="9"/>
        </w:numPr>
        <w:adjustRightInd w:val="0"/>
        <w:snapToGrid w:val="0"/>
        <w:spacing w:line="360" w:lineRule="auto"/>
        <w:ind w:left="420" w:leftChars="200"/>
        <w:rPr>
          <w:rFonts w:ascii="宋体" w:hAnsi="宋体" w:cs="宋体"/>
        </w:rPr>
      </w:pPr>
      <w:r>
        <w:rPr>
          <w:rFonts w:hint="eastAsia" w:ascii="宋体" w:hAnsi="宋体" w:cs="宋体"/>
        </w:rPr>
        <w:t>我方保证按照国家计委计价格[2002]1980号、安徽省物价局、省建设厅皖价服（2007）226号文件的规定向该项目招标代理机构缴纳招标代理服务费和专家评审费。</w:t>
      </w:r>
    </w:p>
    <w:p>
      <w:pPr>
        <w:adjustRightInd w:val="0"/>
        <w:snapToGrid w:val="0"/>
        <w:spacing w:line="360" w:lineRule="auto"/>
        <w:ind w:left="420" w:leftChars="200"/>
        <w:rPr>
          <w:rFonts w:ascii="宋体" w:hAnsi="宋体" w:cs="宋体"/>
        </w:rPr>
      </w:pPr>
      <w:r>
        <w:rPr>
          <w:rFonts w:hint="eastAsia" w:ascii="宋体" w:hAnsi="宋体" w:cs="宋体"/>
        </w:rPr>
        <w:t>5．我方在此声明，所递交的投标文件及有关资料内容完整、真实和准确。</w:t>
      </w:r>
    </w:p>
    <w:p>
      <w:pPr>
        <w:adjustRightInd w:val="0"/>
        <w:snapToGrid w:val="0"/>
        <w:spacing w:line="360" w:lineRule="auto"/>
        <w:ind w:left="420" w:leftChars="200"/>
        <w:rPr>
          <w:rFonts w:ascii="宋体" w:hAnsi="宋体" w:cs="宋体"/>
          <w:u w:val="single"/>
        </w:rPr>
      </w:pPr>
      <w:r>
        <w:rPr>
          <w:rFonts w:hint="eastAsia" w:ascii="宋体" w:hAnsi="宋体" w:cs="宋体"/>
        </w:rPr>
        <w:t>投标人：</w:t>
      </w:r>
      <w:r>
        <w:rPr>
          <w:rFonts w:hint="eastAsia" w:ascii="宋体" w:hAnsi="宋体" w:cs="宋体"/>
          <w:u w:val="single"/>
        </w:rPr>
        <w:t xml:space="preserve">                     （盖章）</w:t>
      </w:r>
    </w:p>
    <w:p>
      <w:pPr>
        <w:tabs>
          <w:tab w:val="left" w:pos="3760"/>
        </w:tabs>
        <w:adjustRightInd w:val="0"/>
        <w:snapToGrid w:val="0"/>
        <w:spacing w:line="360" w:lineRule="auto"/>
        <w:ind w:left="420" w:leftChars="200"/>
        <w:rPr>
          <w:rFonts w:ascii="宋体" w:hAnsi="宋体" w:cs="宋体"/>
        </w:rPr>
      </w:pPr>
      <w:bookmarkStart w:id="430" w:name="page79"/>
      <w:bookmarkEnd w:id="430"/>
      <w:r>
        <w:rPr>
          <w:rFonts w:hint="eastAsia" w:ascii="宋体" w:hAnsi="宋体" w:cs="宋体"/>
        </w:rPr>
        <w:t>法定代表人或其委托代理人：</w:t>
      </w:r>
      <w:r>
        <w:rPr>
          <w:rFonts w:hint="eastAsia" w:ascii="宋体" w:hAnsi="宋体" w:cs="宋体"/>
          <w:u w:val="single"/>
        </w:rPr>
        <w:tab/>
      </w:r>
      <w:r>
        <w:rPr>
          <w:rFonts w:hint="eastAsia" w:ascii="宋体" w:hAnsi="宋体" w:cs="宋体"/>
        </w:rPr>
        <w:t>（签字或盖章）</w:t>
      </w:r>
    </w:p>
    <w:p>
      <w:pPr>
        <w:tabs>
          <w:tab w:val="left" w:pos="620"/>
        </w:tabs>
        <w:adjustRightInd w:val="0"/>
        <w:snapToGrid w:val="0"/>
        <w:spacing w:line="360" w:lineRule="auto"/>
        <w:ind w:left="420" w:leftChars="200"/>
        <w:rPr>
          <w:rFonts w:ascii="宋体" w:hAnsi="宋体" w:cs="宋体"/>
          <w:u w:val="single"/>
        </w:rPr>
      </w:pPr>
      <w:r>
        <w:rPr>
          <w:rFonts w:hint="eastAsia" w:ascii="宋体" w:hAnsi="宋体" w:cs="宋体"/>
        </w:rPr>
        <w:t>地</w:t>
      </w:r>
      <w:r>
        <w:rPr>
          <w:rFonts w:hint="eastAsia" w:ascii="宋体" w:hAnsi="宋体" w:cs="宋体"/>
        </w:rPr>
        <w:tab/>
      </w:r>
      <w:r>
        <w:rPr>
          <w:rFonts w:hint="eastAsia" w:ascii="宋体" w:hAnsi="宋体" w:cs="宋体"/>
        </w:rPr>
        <w:t>址：</w:t>
      </w:r>
    </w:p>
    <w:p>
      <w:pPr>
        <w:tabs>
          <w:tab w:val="left" w:pos="620"/>
        </w:tabs>
        <w:adjustRightInd w:val="0"/>
        <w:snapToGrid w:val="0"/>
        <w:spacing w:line="360" w:lineRule="auto"/>
        <w:ind w:left="420" w:leftChars="200"/>
        <w:rPr>
          <w:rFonts w:ascii="宋体" w:hAnsi="宋体" w:cs="宋体"/>
        </w:rPr>
      </w:pPr>
      <w:r>
        <w:rPr>
          <w:rFonts w:hint="eastAsia" w:ascii="宋体" w:hAnsi="宋体" w:cs="宋体"/>
        </w:rPr>
        <w:t>电</w:t>
      </w:r>
      <w:r>
        <w:rPr>
          <w:rFonts w:hint="eastAsia" w:ascii="宋体" w:hAnsi="宋体" w:cs="宋体"/>
        </w:rPr>
        <w:tab/>
      </w:r>
      <w:r>
        <w:rPr>
          <w:rFonts w:hint="eastAsia" w:ascii="宋体" w:hAnsi="宋体" w:cs="宋体"/>
        </w:rPr>
        <w:t>话：                                         传</w:t>
      </w:r>
      <w:r>
        <w:rPr>
          <w:rFonts w:hint="eastAsia" w:ascii="宋体" w:hAnsi="宋体" w:cs="宋体"/>
        </w:rPr>
        <w:tab/>
      </w:r>
      <w:r>
        <w:rPr>
          <w:rFonts w:hint="eastAsia" w:ascii="宋体" w:hAnsi="宋体" w:cs="宋体"/>
        </w:rPr>
        <w:t>真：</w:t>
      </w:r>
    </w:p>
    <w:p>
      <w:pPr>
        <w:adjustRightInd w:val="0"/>
        <w:snapToGrid w:val="0"/>
        <w:spacing w:line="360" w:lineRule="auto"/>
        <w:ind w:left="420" w:leftChars="200"/>
        <w:jc w:val="left"/>
        <w:rPr>
          <w:rFonts w:ascii="宋体" w:hAnsi="宋体" w:cs="宋体"/>
        </w:rPr>
      </w:pPr>
      <w:r>
        <w:rPr>
          <w:rFonts w:hint="eastAsia" w:ascii="宋体" w:hAnsi="宋体" w:cs="宋体"/>
        </w:rPr>
        <w:t xml:space="preserve">邮政编码：                                    </w:t>
      </w:r>
    </w:p>
    <w:p>
      <w:pPr>
        <w:adjustRightInd w:val="0"/>
        <w:snapToGrid w:val="0"/>
        <w:spacing w:line="360" w:lineRule="auto"/>
        <w:ind w:left="420" w:leftChars="200" w:firstLine="4830" w:firstLineChars="2300"/>
        <w:jc w:val="left"/>
        <w:rPr>
          <w:rFonts w:ascii="宋体" w:hAnsi="宋体" w:cs="宋体"/>
        </w:rPr>
      </w:pPr>
      <w:r>
        <w:rPr>
          <w:rFonts w:hint="eastAsia" w:ascii="宋体" w:hAnsi="宋体" w:cs="宋体"/>
        </w:rPr>
        <w:t xml:space="preserve"> 年</w:t>
      </w:r>
      <w:r>
        <w:rPr>
          <w:rFonts w:hint="eastAsia" w:ascii="宋体" w:hAnsi="宋体" w:cs="宋体"/>
        </w:rPr>
        <w:tab/>
      </w:r>
      <w:r>
        <w:rPr>
          <w:rFonts w:hint="eastAsia" w:ascii="宋体" w:hAnsi="宋体" w:cs="宋体"/>
        </w:rPr>
        <w:t>月</w:t>
      </w:r>
      <w:r>
        <w:rPr>
          <w:rFonts w:hint="eastAsia" w:ascii="宋体" w:hAnsi="宋体" w:cs="宋体"/>
        </w:rPr>
        <w:tab/>
      </w:r>
      <w:r>
        <w:rPr>
          <w:rFonts w:hint="eastAsia" w:ascii="宋体" w:hAnsi="宋体" w:cs="宋体"/>
        </w:rPr>
        <w:t>日</w:t>
      </w:r>
    </w:p>
    <w:p>
      <w:pPr>
        <w:adjustRightInd w:val="0"/>
        <w:snapToGrid w:val="0"/>
        <w:spacing w:line="360" w:lineRule="auto"/>
        <w:ind w:left="423" w:leftChars="200" w:right="15" w:rightChars="7" w:hanging="3"/>
        <w:rPr>
          <w:rFonts w:ascii="宋体" w:hAnsi="宋体" w:cs="宋体"/>
          <w:bCs/>
          <w:sz w:val="28"/>
          <w:szCs w:val="28"/>
        </w:rPr>
      </w:pPr>
      <w:r>
        <w:rPr>
          <w:rFonts w:hint="eastAsia" w:ascii="宋体" w:hAnsi="宋体" w:cs="宋体"/>
        </w:rPr>
        <w:br w:type="page"/>
      </w:r>
      <w:bookmarkEnd w:id="39"/>
      <w:bookmarkEnd w:id="40"/>
      <w:bookmarkEnd w:id="41"/>
      <w:bookmarkEnd w:id="42"/>
      <w:bookmarkEnd w:id="43"/>
      <w:bookmarkEnd w:id="44"/>
      <w:bookmarkEnd w:id="45"/>
      <w:bookmarkEnd w:id="46"/>
      <w:bookmarkEnd w:id="47"/>
      <w:r>
        <w:rPr>
          <w:rFonts w:hint="eastAsia" w:ascii="宋体" w:hAnsi="宋体" w:cs="宋体"/>
          <w:b/>
          <w:sz w:val="28"/>
          <w:szCs w:val="28"/>
        </w:rPr>
        <w:t>附件</w:t>
      </w:r>
    </w:p>
    <w:p>
      <w:pPr>
        <w:adjustRightInd w:val="0"/>
        <w:snapToGrid w:val="0"/>
        <w:spacing w:after="20" w:line="540" w:lineRule="exact"/>
        <w:ind w:left="423" w:leftChars="200" w:hanging="3"/>
        <w:jc w:val="center"/>
        <w:outlineLvl w:val="0"/>
        <w:rPr>
          <w:rFonts w:ascii="宋体" w:hAnsi="宋体" w:cs="宋体"/>
          <w:bCs/>
          <w:sz w:val="24"/>
        </w:rPr>
      </w:pPr>
      <w:bookmarkStart w:id="431" w:name="_Toc29085"/>
      <w:bookmarkStart w:id="432" w:name="_Toc5689"/>
      <w:bookmarkStart w:id="433" w:name="_Toc25361"/>
      <w:bookmarkStart w:id="434" w:name="_Toc2060"/>
      <w:bookmarkStart w:id="435" w:name="_Toc28436"/>
      <w:r>
        <w:rPr>
          <w:rFonts w:hint="eastAsia" w:ascii="宋体" w:hAnsi="宋体" w:cs="宋体"/>
          <w:b/>
          <w:sz w:val="24"/>
        </w:rPr>
        <w:t>投标总报价表</w:t>
      </w:r>
      <w:bookmarkEnd w:id="431"/>
      <w:bookmarkEnd w:id="432"/>
      <w:bookmarkEnd w:id="433"/>
      <w:bookmarkEnd w:id="434"/>
      <w:bookmarkEnd w:id="435"/>
    </w:p>
    <w:p>
      <w:pPr>
        <w:adjustRightInd w:val="0"/>
        <w:snapToGrid w:val="0"/>
        <w:spacing w:after="20" w:line="540" w:lineRule="exact"/>
        <w:ind w:left="423" w:leftChars="200" w:hanging="3"/>
        <w:rPr>
          <w:rFonts w:ascii="宋体" w:hAnsi="宋体" w:cs="宋体"/>
          <w:bCs/>
          <w:sz w:val="24"/>
        </w:rPr>
      </w:pPr>
    </w:p>
    <w:p>
      <w:pPr>
        <w:adjustRightInd w:val="0"/>
        <w:snapToGrid w:val="0"/>
        <w:ind w:left="423" w:leftChars="200" w:hanging="3"/>
        <w:rPr>
          <w:rFonts w:ascii="宋体" w:hAnsi="宋体" w:cs="宋体"/>
          <w:szCs w:val="21"/>
        </w:rPr>
      </w:pPr>
      <w:r>
        <w:rPr>
          <w:rFonts w:hint="eastAsia" w:ascii="宋体" w:hAnsi="宋体" w:cs="宋体"/>
          <w:szCs w:val="21"/>
        </w:rPr>
        <w:t>项目名称：</w:t>
      </w:r>
    </w:p>
    <w:tbl>
      <w:tblPr>
        <w:tblStyle w:val="23"/>
        <w:tblW w:w="89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8"/>
        <w:gridCol w:w="83"/>
        <w:gridCol w:w="2081"/>
        <w:gridCol w:w="3184"/>
        <w:gridCol w:w="2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361" w:type="dxa"/>
            <w:gridSpan w:val="2"/>
            <w:vAlign w:val="center"/>
          </w:tcPr>
          <w:p>
            <w:pPr>
              <w:adjustRightInd w:val="0"/>
              <w:snapToGrid w:val="0"/>
              <w:jc w:val="center"/>
              <w:rPr>
                <w:rFonts w:ascii="宋体" w:hAnsi="宋体" w:cs="宋体"/>
                <w:szCs w:val="21"/>
              </w:rPr>
            </w:pPr>
            <w:r>
              <w:rPr>
                <w:rFonts w:hint="eastAsia" w:ascii="宋体" w:hAnsi="宋体" w:cs="宋体"/>
                <w:szCs w:val="21"/>
              </w:rPr>
              <w:t>投标人</w:t>
            </w:r>
          </w:p>
        </w:tc>
        <w:tc>
          <w:tcPr>
            <w:tcW w:w="7590" w:type="dxa"/>
            <w:gridSpan w:val="3"/>
          </w:tcPr>
          <w:p>
            <w:pPr>
              <w:adjustRightInd w:val="0"/>
              <w:snapToGrid w:val="0"/>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0" w:hRule="atLeast"/>
          <w:jc w:val="center"/>
        </w:trPr>
        <w:tc>
          <w:tcPr>
            <w:tcW w:w="1361" w:type="dxa"/>
            <w:gridSpan w:val="2"/>
            <w:vAlign w:val="center"/>
          </w:tcPr>
          <w:p>
            <w:pPr>
              <w:adjustRightInd w:val="0"/>
              <w:snapToGrid w:val="0"/>
              <w:jc w:val="center"/>
              <w:rPr>
                <w:rFonts w:ascii="宋体" w:hAnsi="宋体" w:cs="宋体"/>
                <w:szCs w:val="21"/>
              </w:rPr>
            </w:pPr>
            <w:r>
              <w:rPr>
                <w:rFonts w:hint="eastAsia" w:ascii="宋体" w:hAnsi="宋体" w:cs="宋体"/>
                <w:szCs w:val="21"/>
              </w:rPr>
              <w:t>工  期</w:t>
            </w:r>
          </w:p>
        </w:tc>
        <w:tc>
          <w:tcPr>
            <w:tcW w:w="2081" w:type="dxa"/>
          </w:tcPr>
          <w:p>
            <w:pPr>
              <w:adjustRightInd w:val="0"/>
              <w:snapToGrid w:val="0"/>
              <w:rPr>
                <w:rFonts w:ascii="宋体" w:hAnsi="宋体" w:cs="宋体"/>
                <w:szCs w:val="21"/>
              </w:rPr>
            </w:pPr>
          </w:p>
        </w:tc>
        <w:tc>
          <w:tcPr>
            <w:tcW w:w="3184" w:type="dxa"/>
            <w:vAlign w:val="center"/>
          </w:tcPr>
          <w:p>
            <w:pPr>
              <w:adjustRightInd w:val="0"/>
              <w:snapToGrid w:val="0"/>
              <w:jc w:val="center"/>
              <w:rPr>
                <w:rFonts w:ascii="宋体" w:hAnsi="宋体" w:cs="宋体"/>
                <w:szCs w:val="21"/>
              </w:rPr>
            </w:pPr>
            <w:r>
              <w:rPr>
                <w:rFonts w:hint="eastAsia" w:ascii="宋体" w:hAnsi="宋体" w:cs="宋体"/>
                <w:szCs w:val="21"/>
              </w:rPr>
              <w:t>工程质量</w:t>
            </w:r>
          </w:p>
        </w:tc>
        <w:tc>
          <w:tcPr>
            <w:tcW w:w="2325" w:type="dxa"/>
          </w:tcPr>
          <w:p>
            <w:pPr>
              <w:adjustRightInd w:val="0"/>
              <w:snapToGrid w:val="0"/>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1" w:hRule="atLeast"/>
          <w:jc w:val="center"/>
        </w:trPr>
        <w:tc>
          <w:tcPr>
            <w:tcW w:w="1361" w:type="dxa"/>
            <w:gridSpan w:val="2"/>
            <w:vMerge w:val="restart"/>
            <w:tcMar>
              <w:left w:w="0" w:type="dxa"/>
              <w:right w:w="0" w:type="dxa"/>
            </w:tcMar>
            <w:vAlign w:val="center"/>
          </w:tcPr>
          <w:p>
            <w:pPr>
              <w:adjustRightInd w:val="0"/>
              <w:snapToGrid w:val="0"/>
              <w:jc w:val="center"/>
              <w:rPr>
                <w:rFonts w:ascii="宋体" w:hAnsi="宋体" w:cs="宋体"/>
                <w:szCs w:val="21"/>
              </w:rPr>
            </w:pPr>
            <w:r>
              <w:rPr>
                <w:rFonts w:hint="eastAsia" w:ascii="宋体" w:hAnsi="宋体" w:cs="宋体"/>
                <w:szCs w:val="21"/>
              </w:rPr>
              <w:t>投标报价</w:t>
            </w:r>
          </w:p>
        </w:tc>
        <w:tc>
          <w:tcPr>
            <w:tcW w:w="2081" w:type="dxa"/>
            <w:tcMar>
              <w:left w:w="0" w:type="dxa"/>
              <w:right w:w="0" w:type="dxa"/>
            </w:tcMar>
            <w:vAlign w:val="center"/>
          </w:tcPr>
          <w:p>
            <w:pPr>
              <w:adjustRightInd w:val="0"/>
              <w:snapToGrid w:val="0"/>
              <w:jc w:val="center"/>
              <w:rPr>
                <w:rFonts w:ascii="宋体" w:hAnsi="宋体" w:cs="宋体"/>
                <w:szCs w:val="21"/>
              </w:rPr>
            </w:pPr>
            <w:r>
              <w:rPr>
                <w:rFonts w:hint="eastAsia" w:ascii="宋体" w:hAnsi="宋体" w:cs="宋体"/>
                <w:szCs w:val="21"/>
              </w:rPr>
              <w:t>大写</w:t>
            </w:r>
          </w:p>
        </w:tc>
        <w:tc>
          <w:tcPr>
            <w:tcW w:w="5509" w:type="dxa"/>
            <w:gridSpan w:val="2"/>
            <w:vAlign w:val="center"/>
          </w:tcPr>
          <w:p>
            <w:pPr>
              <w:adjustRightInd w:val="0"/>
              <w:snapToGrid w:val="0"/>
              <w:rPr>
                <w:rFonts w:ascii="宋体" w:hAnsi="宋体" w:cs="宋体"/>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9" w:hRule="atLeast"/>
          <w:jc w:val="center"/>
        </w:trPr>
        <w:tc>
          <w:tcPr>
            <w:tcW w:w="1361" w:type="dxa"/>
            <w:gridSpan w:val="2"/>
            <w:vMerge w:val="continue"/>
            <w:tcMar>
              <w:left w:w="0" w:type="dxa"/>
              <w:right w:w="0" w:type="dxa"/>
            </w:tcMar>
            <w:vAlign w:val="center"/>
          </w:tcPr>
          <w:p>
            <w:pPr>
              <w:adjustRightInd w:val="0"/>
              <w:snapToGrid w:val="0"/>
              <w:jc w:val="center"/>
              <w:rPr>
                <w:rFonts w:ascii="宋体" w:hAnsi="宋体" w:cs="宋体"/>
                <w:szCs w:val="21"/>
              </w:rPr>
            </w:pPr>
          </w:p>
        </w:tc>
        <w:tc>
          <w:tcPr>
            <w:tcW w:w="2081" w:type="dxa"/>
            <w:tcMar>
              <w:left w:w="0" w:type="dxa"/>
              <w:right w:w="0" w:type="dxa"/>
            </w:tcMar>
            <w:vAlign w:val="center"/>
          </w:tcPr>
          <w:p>
            <w:pPr>
              <w:adjustRightInd w:val="0"/>
              <w:snapToGrid w:val="0"/>
              <w:jc w:val="center"/>
              <w:rPr>
                <w:rFonts w:ascii="宋体" w:hAnsi="宋体" w:cs="宋体"/>
                <w:szCs w:val="21"/>
              </w:rPr>
            </w:pPr>
            <w:r>
              <w:rPr>
                <w:rFonts w:hint="eastAsia" w:ascii="宋体" w:hAnsi="宋体" w:cs="宋体"/>
                <w:szCs w:val="21"/>
              </w:rPr>
              <w:t>小写</w:t>
            </w:r>
          </w:p>
        </w:tc>
        <w:tc>
          <w:tcPr>
            <w:tcW w:w="5509" w:type="dxa"/>
            <w:gridSpan w:val="2"/>
            <w:vAlign w:val="center"/>
          </w:tcPr>
          <w:p>
            <w:pPr>
              <w:adjustRightInd w:val="0"/>
              <w:snapToGrid w:val="0"/>
              <w:rPr>
                <w:rFonts w:ascii="宋体" w:hAnsi="宋体" w:cs="宋体"/>
                <w:szCs w:val="21"/>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42" w:hRule="atLeast"/>
          <w:jc w:val="center"/>
        </w:trPr>
        <w:tc>
          <w:tcPr>
            <w:tcW w:w="8951" w:type="dxa"/>
            <w:gridSpan w:val="5"/>
          </w:tcPr>
          <w:p>
            <w:pPr>
              <w:adjustRightInd w:val="0"/>
              <w:snapToGrid w:val="0"/>
              <w:rPr>
                <w:rFonts w:ascii="宋体" w:hAnsi="宋体" w:cs="宋体"/>
                <w:szCs w:val="21"/>
              </w:rPr>
            </w:pPr>
            <w:r>
              <w:rPr>
                <w:rFonts w:hint="eastAsia" w:ascii="宋体" w:hAnsi="宋体" w:cs="宋体"/>
                <w:szCs w:val="21"/>
              </w:rPr>
              <w:t>其他优惠条件：</w:t>
            </w: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p>
          <w:p>
            <w:pPr>
              <w:adjustRightInd w:val="0"/>
              <w:snapToGrid w:val="0"/>
              <w:rPr>
                <w:rFonts w:ascii="宋体" w:hAnsi="宋体" w:cs="宋体"/>
                <w:szCs w:val="21"/>
              </w:rPr>
            </w:pPr>
            <w:r>
              <w:rPr>
                <w:rFonts w:hint="eastAsia" w:ascii="宋体" w:hAnsi="宋体" w:cs="宋体"/>
                <w:szCs w:val="21"/>
              </w:rPr>
              <w:t>投标人（签章）            法定代表人（签字或盖章）</w:t>
            </w:r>
          </w:p>
          <w:p>
            <w:pPr>
              <w:adjustRightInd w:val="0"/>
              <w:snapToGrid w:val="0"/>
              <w:rPr>
                <w:rFonts w:ascii="宋体" w:hAnsi="宋体" w:cs="宋体"/>
                <w:szCs w:val="21"/>
              </w:rPr>
            </w:pPr>
            <w:r>
              <w:rPr>
                <w:rFonts w:hint="eastAsia" w:ascii="宋体" w:hAnsi="宋体" w:cs="宋体"/>
                <w:szCs w:val="21"/>
              </w:rPr>
              <w:t>年  月  日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6" w:hRule="atLeast"/>
          <w:jc w:val="center"/>
        </w:trPr>
        <w:tc>
          <w:tcPr>
            <w:tcW w:w="1278" w:type="dxa"/>
            <w:vAlign w:val="center"/>
          </w:tcPr>
          <w:p>
            <w:pPr>
              <w:adjustRightInd w:val="0"/>
              <w:snapToGrid w:val="0"/>
              <w:jc w:val="center"/>
              <w:rPr>
                <w:rFonts w:ascii="宋体" w:hAnsi="宋体" w:cs="宋体"/>
                <w:szCs w:val="21"/>
              </w:rPr>
            </w:pPr>
            <w:r>
              <w:rPr>
                <w:rFonts w:hint="eastAsia" w:ascii="宋体" w:hAnsi="宋体" w:cs="宋体"/>
                <w:szCs w:val="21"/>
              </w:rPr>
              <w:t>备注</w:t>
            </w:r>
          </w:p>
        </w:tc>
        <w:tc>
          <w:tcPr>
            <w:tcW w:w="7673" w:type="dxa"/>
            <w:gridSpan w:val="4"/>
          </w:tcPr>
          <w:p>
            <w:pPr>
              <w:adjustRightInd w:val="0"/>
              <w:snapToGrid w:val="0"/>
              <w:rPr>
                <w:rFonts w:ascii="宋体" w:hAnsi="宋体" w:cs="宋体"/>
                <w:szCs w:val="21"/>
              </w:rPr>
            </w:pPr>
          </w:p>
        </w:tc>
      </w:tr>
    </w:tbl>
    <w:p>
      <w:pPr>
        <w:adjustRightInd w:val="0"/>
        <w:snapToGrid w:val="0"/>
        <w:spacing w:line="360" w:lineRule="auto"/>
        <w:ind w:left="423" w:leftChars="200" w:hanging="3"/>
        <w:rPr>
          <w:rFonts w:ascii="宋体" w:hAnsi="宋体" w:cs="宋体"/>
        </w:rPr>
      </w:pPr>
    </w:p>
    <w:p>
      <w:pPr>
        <w:adjustRightInd w:val="0"/>
        <w:snapToGrid w:val="0"/>
        <w:spacing w:line="360" w:lineRule="auto"/>
        <w:ind w:left="423" w:leftChars="200" w:hanging="3"/>
        <w:rPr>
          <w:rFonts w:ascii="宋体" w:hAnsi="宋体" w:cs="宋体"/>
        </w:rPr>
      </w:pPr>
    </w:p>
    <w:p>
      <w:pPr>
        <w:adjustRightInd w:val="0"/>
        <w:snapToGrid w:val="0"/>
        <w:spacing w:line="360" w:lineRule="auto"/>
        <w:ind w:left="423" w:leftChars="200" w:hanging="3"/>
        <w:rPr>
          <w:rFonts w:ascii="宋体" w:hAnsi="宋体" w:cs="宋体"/>
          <w:b/>
          <w:bCs/>
          <w:sz w:val="28"/>
          <w:szCs w:val="36"/>
        </w:rPr>
      </w:pPr>
      <w:r>
        <w:rPr>
          <w:rFonts w:hint="eastAsia" w:ascii="宋体" w:hAnsi="宋体" w:cs="宋体"/>
          <w:b/>
          <w:bCs/>
          <w:sz w:val="28"/>
          <w:szCs w:val="36"/>
        </w:rPr>
        <w:t>后附分部分项报价表等表格，格式统一按18清单计价规范规定。</w:t>
      </w:r>
    </w:p>
    <w:p>
      <w:pPr>
        <w:adjustRightInd w:val="0"/>
        <w:snapToGrid w:val="0"/>
        <w:spacing w:line="360" w:lineRule="auto"/>
        <w:ind w:left="423" w:leftChars="200" w:hanging="3"/>
        <w:rPr>
          <w:rFonts w:ascii="宋体" w:hAnsi="宋体" w:cs="宋体"/>
        </w:rPr>
      </w:pPr>
    </w:p>
    <w:p>
      <w:pPr>
        <w:adjustRightInd w:val="0"/>
        <w:snapToGrid w:val="0"/>
        <w:spacing w:line="360" w:lineRule="auto"/>
        <w:ind w:left="423" w:leftChars="200" w:hanging="3"/>
        <w:rPr>
          <w:rFonts w:ascii="宋体" w:hAnsi="宋体" w:cs="宋体"/>
        </w:rPr>
      </w:pPr>
    </w:p>
    <w:p>
      <w:pPr>
        <w:adjustRightInd w:val="0"/>
        <w:snapToGrid w:val="0"/>
        <w:spacing w:line="360" w:lineRule="auto"/>
        <w:ind w:left="423" w:leftChars="200" w:hanging="3"/>
        <w:rPr>
          <w:rFonts w:ascii="宋体" w:hAnsi="宋体" w:cs="宋体"/>
        </w:rPr>
      </w:pPr>
    </w:p>
    <w:p>
      <w:pPr>
        <w:adjustRightInd w:val="0"/>
        <w:snapToGrid w:val="0"/>
        <w:spacing w:line="520" w:lineRule="exact"/>
        <w:ind w:left="423" w:leftChars="200" w:hanging="3"/>
        <w:rPr>
          <w:rFonts w:ascii="宋体" w:hAnsi="宋体" w:cs="宋体"/>
          <w:b/>
          <w:sz w:val="32"/>
          <w:szCs w:val="32"/>
        </w:rPr>
      </w:pPr>
    </w:p>
    <w:p>
      <w:pPr>
        <w:adjustRightInd w:val="0"/>
        <w:snapToGrid w:val="0"/>
        <w:spacing w:line="520" w:lineRule="exact"/>
        <w:ind w:left="423" w:leftChars="200" w:hanging="3"/>
        <w:outlineLvl w:val="0"/>
        <w:rPr>
          <w:rFonts w:ascii="宋体" w:hAnsi="宋体" w:cs="宋体"/>
          <w:b/>
          <w:sz w:val="32"/>
          <w:szCs w:val="32"/>
        </w:rPr>
      </w:pPr>
      <w:r>
        <w:rPr>
          <w:rFonts w:hint="eastAsia" w:ascii="宋体" w:hAnsi="宋体" w:cs="宋体"/>
          <w:b/>
          <w:sz w:val="32"/>
          <w:szCs w:val="32"/>
        </w:rPr>
        <w:br w:type="page"/>
      </w:r>
      <w:bookmarkStart w:id="436" w:name="_Toc3598"/>
      <w:bookmarkStart w:id="437" w:name="_Toc15427"/>
      <w:bookmarkStart w:id="438" w:name="_Toc24736"/>
      <w:bookmarkStart w:id="439" w:name="_Toc22566"/>
      <w:bookmarkStart w:id="440" w:name="_Toc793"/>
      <w:r>
        <w:rPr>
          <w:rFonts w:hint="eastAsia" w:ascii="宋体" w:hAnsi="宋体" w:cs="宋体"/>
          <w:b/>
          <w:sz w:val="32"/>
          <w:szCs w:val="32"/>
        </w:rPr>
        <w:t>附件</w:t>
      </w:r>
      <w:bookmarkEnd w:id="436"/>
      <w:bookmarkEnd w:id="437"/>
      <w:bookmarkEnd w:id="438"/>
      <w:bookmarkEnd w:id="439"/>
      <w:bookmarkEnd w:id="440"/>
    </w:p>
    <w:p>
      <w:pPr>
        <w:pStyle w:val="12"/>
        <w:adjustRightInd w:val="0"/>
        <w:snapToGrid w:val="0"/>
        <w:ind w:left="423" w:leftChars="200" w:hanging="3"/>
        <w:jc w:val="center"/>
        <w:rPr>
          <w:rFonts w:hAnsi="宋体" w:cs="宋体"/>
          <w:b/>
          <w:color w:val="auto"/>
          <w:sz w:val="28"/>
          <w:szCs w:val="28"/>
        </w:rPr>
      </w:pPr>
      <w:r>
        <w:rPr>
          <w:rFonts w:hint="eastAsia" w:hAnsi="宋体" w:cs="宋体"/>
          <w:b/>
          <w:color w:val="auto"/>
          <w:sz w:val="28"/>
          <w:szCs w:val="28"/>
        </w:rPr>
        <w:t>资格证明材料</w:t>
      </w:r>
    </w:p>
    <w:p>
      <w:pPr>
        <w:pStyle w:val="7"/>
        <w:adjustRightInd w:val="0"/>
        <w:snapToGrid w:val="0"/>
        <w:spacing w:before="20" w:after="20" w:line="540" w:lineRule="exact"/>
        <w:ind w:left="423" w:leftChars="200" w:hanging="3"/>
        <w:rPr>
          <w:rFonts w:ascii="宋体" w:hAnsi="宋体" w:cs="宋体"/>
        </w:rPr>
      </w:pPr>
      <w:r>
        <w:rPr>
          <w:rFonts w:hint="eastAsia" w:ascii="宋体" w:hAnsi="宋体" w:cs="宋体"/>
        </w:rPr>
        <w:t>包括法人授权委托书、企业法人营业执照副本、企业资质证书等内容。</w:t>
      </w:r>
    </w:p>
    <w:p>
      <w:pPr>
        <w:pStyle w:val="7"/>
        <w:adjustRightInd w:val="0"/>
        <w:snapToGrid w:val="0"/>
        <w:spacing w:before="20" w:after="20" w:line="540" w:lineRule="exact"/>
        <w:ind w:left="423" w:leftChars="200" w:hanging="3"/>
        <w:rPr>
          <w:rFonts w:ascii="宋体" w:hAnsi="宋体" w:cs="宋体"/>
          <w:b/>
          <w:sz w:val="32"/>
          <w:szCs w:val="32"/>
        </w:rPr>
      </w:pPr>
    </w:p>
    <w:p>
      <w:pPr>
        <w:adjustRightInd w:val="0"/>
        <w:snapToGrid w:val="0"/>
        <w:spacing w:line="520" w:lineRule="exact"/>
        <w:ind w:left="423" w:leftChars="200" w:hanging="3"/>
        <w:outlineLvl w:val="0"/>
        <w:rPr>
          <w:rFonts w:ascii="宋体" w:hAnsi="宋体" w:cs="宋体"/>
          <w:b/>
          <w:sz w:val="32"/>
          <w:szCs w:val="32"/>
        </w:rPr>
      </w:pPr>
      <w:bookmarkStart w:id="441" w:name="_Toc10527"/>
      <w:bookmarkStart w:id="442" w:name="_Toc12147"/>
      <w:bookmarkStart w:id="443" w:name="_Toc7481"/>
      <w:bookmarkStart w:id="444" w:name="_Toc8142"/>
      <w:bookmarkStart w:id="445" w:name="_Toc19793"/>
      <w:r>
        <w:rPr>
          <w:rFonts w:hint="eastAsia" w:ascii="宋体" w:hAnsi="宋体" w:cs="宋体"/>
          <w:b/>
          <w:sz w:val="32"/>
          <w:szCs w:val="32"/>
        </w:rPr>
        <w:t>附件</w:t>
      </w:r>
      <w:bookmarkEnd w:id="441"/>
      <w:bookmarkEnd w:id="442"/>
      <w:bookmarkEnd w:id="443"/>
      <w:bookmarkEnd w:id="444"/>
      <w:bookmarkEnd w:id="445"/>
    </w:p>
    <w:p>
      <w:pPr>
        <w:adjustRightInd w:val="0"/>
        <w:snapToGrid w:val="0"/>
        <w:spacing w:line="460" w:lineRule="exact"/>
        <w:ind w:left="423" w:leftChars="200" w:hanging="3"/>
        <w:jc w:val="center"/>
        <w:rPr>
          <w:rFonts w:ascii="宋体" w:hAnsi="宋体" w:cs="宋体"/>
          <w:b/>
          <w:sz w:val="36"/>
          <w:szCs w:val="32"/>
        </w:rPr>
      </w:pPr>
      <w:r>
        <w:rPr>
          <w:rFonts w:hint="eastAsia" w:ascii="宋体" w:hAnsi="宋体" w:cs="宋体"/>
          <w:b/>
          <w:sz w:val="36"/>
          <w:szCs w:val="32"/>
        </w:rPr>
        <w:t>投标单位综合情况一览表</w:t>
      </w:r>
    </w:p>
    <w:tbl>
      <w:tblPr>
        <w:tblStyle w:val="23"/>
        <w:tblW w:w="959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6"/>
        <w:gridCol w:w="3294"/>
        <w:gridCol w:w="1465"/>
        <w:gridCol w:w="2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2066" w:type="dxa"/>
            <w:vAlign w:val="center"/>
          </w:tcPr>
          <w:p>
            <w:pPr>
              <w:adjustRightInd w:val="0"/>
              <w:snapToGrid w:val="0"/>
              <w:spacing w:line="460" w:lineRule="exact"/>
              <w:ind w:left="426" w:leftChars="200" w:hanging="6"/>
              <w:jc w:val="left"/>
              <w:rPr>
                <w:rFonts w:ascii="宋体" w:hAnsi="宋体" w:cs="宋体"/>
                <w:sz w:val="24"/>
              </w:rPr>
            </w:pPr>
            <w:r>
              <w:rPr>
                <w:rFonts w:hint="eastAsia" w:ascii="宋体" w:hAnsi="宋体" w:cs="宋体"/>
                <w:sz w:val="24"/>
              </w:rPr>
              <w:t>企业名称</w:t>
            </w:r>
          </w:p>
        </w:tc>
        <w:tc>
          <w:tcPr>
            <w:tcW w:w="3294" w:type="dxa"/>
            <w:vAlign w:val="center"/>
          </w:tcPr>
          <w:p>
            <w:pPr>
              <w:adjustRightInd w:val="0"/>
              <w:snapToGrid w:val="0"/>
              <w:spacing w:line="460" w:lineRule="exact"/>
              <w:ind w:left="426" w:leftChars="200" w:hanging="6"/>
              <w:jc w:val="left"/>
              <w:rPr>
                <w:rFonts w:ascii="宋体" w:hAnsi="宋体" w:cs="宋体"/>
                <w:sz w:val="24"/>
              </w:rPr>
            </w:pPr>
          </w:p>
        </w:tc>
        <w:tc>
          <w:tcPr>
            <w:tcW w:w="1465" w:type="dxa"/>
            <w:vAlign w:val="center"/>
          </w:tcPr>
          <w:p>
            <w:pPr>
              <w:adjustRightInd w:val="0"/>
              <w:snapToGrid w:val="0"/>
              <w:spacing w:line="460" w:lineRule="exact"/>
              <w:ind w:left="426" w:leftChars="200" w:hanging="6"/>
              <w:jc w:val="left"/>
              <w:rPr>
                <w:rFonts w:ascii="宋体" w:hAnsi="宋体" w:cs="宋体"/>
                <w:sz w:val="24"/>
              </w:rPr>
            </w:pPr>
            <w:r>
              <w:rPr>
                <w:rFonts w:hint="eastAsia" w:ascii="宋体" w:hAnsi="宋体" w:cs="宋体"/>
                <w:sz w:val="24"/>
              </w:rPr>
              <w:t>经理姓名</w:t>
            </w:r>
          </w:p>
        </w:tc>
        <w:tc>
          <w:tcPr>
            <w:tcW w:w="2767" w:type="dxa"/>
            <w:vAlign w:val="center"/>
          </w:tcPr>
          <w:p>
            <w:pPr>
              <w:adjustRightInd w:val="0"/>
              <w:snapToGrid w:val="0"/>
              <w:spacing w:line="460" w:lineRule="exact"/>
              <w:ind w:left="426" w:leftChars="200" w:hanging="6"/>
              <w:jc w:val="left"/>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2066" w:type="dxa"/>
            <w:vAlign w:val="center"/>
          </w:tcPr>
          <w:p>
            <w:pPr>
              <w:adjustRightInd w:val="0"/>
              <w:snapToGrid w:val="0"/>
              <w:spacing w:line="460" w:lineRule="exact"/>
              <w:ind w:left="426" w:leftChars="200" w:hanging="6"/>
              <w:jc w:val="left"/>
              <w:rPr>
                <w:rFonts w:ascii="宋体" w:hAnsi="宋体" w:cs="宋体"/>
                <w:sz w:val="24"/>
              </w:rPr>
            </w:pPr>
            <w:r>
              <w:rPr>
                <w:rFonts w:hint="eastAsia" w:ascii="宋体" w:hAnsi="宋体" w:cs="宋体"/>
                <w:sz w:val="24"/>
              </w:rPr>
              <w:t>企业性质</w:t>
            </w:r>
          </w:p>
        </w:tc>
        <w:tc>
          <w:tcPr>
            <w:tcW w:w="3294" w:type="dxa"/>
            <w:vAlign w:val="center"/>
          </w:tcPr>
          <w:p>
            <w:pPr>
              <w:adjustRightInd w:val="0"/>
              <w:snapToGrid w:val="0"/>
              <w:spacing w:line="460" w:lineRule="exact"/>
              <w:ind w:left="426" w:leftChars="200" w:hanging="6"/>
              <w:jc w:val="left"/>
              <w:rPr>
                <w:rFonts w:ascii="宋体" w:hAnsi="宋体" w:cs="宋体"/>
                <w:sz w:val="24"/>
              </w:rPr>
            </w:pPr>
          </w:p>
        </w:tc>
        <w:tc>
          <w:tcPr>
            <w:tcW w:w="1465" w:type="dxa"/>
            <w:vAlign w:val="center"/>
          </w:tcPr>
          <w:p>
            <w:pPr>
              <w:adjustRightInd w:val="0"/>
              <w:snapToGrid w:val="0"/>
              <w:spacing w:line="460" w:lineRule="exact"/>
              <w:ind w:left="426" w:leftChars="200" w:hanging="6"/>
              <w:jc w:val="left"/>
              <w:rPr>
                <w:rFonts w:ascii="宋体" w:hAnsi="宋体" w:cs="宋体"/>
                <w:sz w:val="24"/>
              </w:rPr>
            </w:pPr>
            <w:r>
              <w:rPr>
                <w:rFonts w:hint="eastAsia" w:ascii="宋体" w:hAnsi="宋体" w:cs="宋体"/>
                <w:sz w:val="24"/>
              </w:rPr>
              <w:t>资质等级</w:t>
            </w:r>
          </w:p>
        </w:tc>
        <w:tc>
          <w:tcPr>
            <w:tcW w:w="2767" w:type="dxa"/>
            <w:vAlign w:val="center"/>
          </w:tcPr>
          <w:p>
            <w:pPr>
              <w:adjustRightInd w:val="0"/>
              <w:snapToGrid w:val="0"/>
              <w:spacing w:line="460" w:lineRule="exact"/>
              <w:ind w:left="426" w:leftChars="200" w:hanging="6"/>
              <w:jc w:val="left"/>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2066" w:type="dxa"/>
            <w:vAlign w:val="center"/>
          </w:tcPr>
          <w:p>
            <w:pPr>
              <w:adjustRightInd w:val="0"/>
              <w:snapToGrid w:val="0"/>
              <w:spacing w:line="460" w:lineRule="exact"/>
              <w:ind w:left="426" w:leftChars="200" w:hanging="6"/>
              <w:jc w:val="left"/>
              <w:rPr>
                <w:rFonts w:ascii="宋体" w:hAnsi="宋体" w:cs="宋体"/>
                <w:sz w:val="24"/>
              </w:rPr>
            </w:pPr>
            <w:r>
              <w:rPr>
                <w:rFonts w:hint="eastAsia" w:ascii="宋体" w:hAnsi="宋体" w:cs="宋体"/>
                <w:sz w:val="24"/>
              </w:rPr>
              <w:t>企业主管单位</w:t>
            </w:r>
          </w:p>
        </w:tc>
        <w:tc>
          <w:tcPr>
            <w:tcW w:w="3294" w:type="dxa"/>
            <w:vAlign w:val="center"/>
          </w:tcPr>
          <w:p>
            <w:pPr>
              <w:adjustRightInd w:val="0"/>
              <w:snapToGrid w:val="0"/>
              <w:spacing w:line="460" w:lineRule="exact"/>
              <w:ind w:left="426" w:leftChars="200" w:hanging="6"/>
              <w:jc w:val="left"/>
              <w:rPr>
                <w:rFonts w:ascii="宋体" w:hAnsi="宋体" w:cs="宋体"/>
                <w:sz w:val="24"/>
              </w:rPr>
            </w:pPr>
          </w:p>
        </w:tc>
        <w:tc>
          <w:tcPr>
            <w:tcW w:w="1465" w:type="dxa"/>
            <w:vAlign w:val="center"/>
          </w:tcPr>
          <w:p>
            <w:pPr>
              <w:adjustRightInd w:val="0"/>
              <w:snapToGrid w:val="0"/>
              <w:spacing w:line="460" w:lineRule="exact"/>
              <w:ind w:left="426" w:leftChars="200" w:hanging="6"/>
              <w:jc w:val="left"/>
              <w:rPr>
                <w:rFonts w:ascii="宋体" w:hAnsi="宋体" w:cs="宋体"/>
                <w:sz w:val="24"/>
              </w:rPr>
            </w:pPr>
            <w:r>
              <w:rPr>
                <w:rFonts w:hint="eastAsia" w:ascii="宋体" w:hAnsi="宋体" w:cs="宋体"/>
                <w:sz w:val="24"/>
              </w:rPr>
              <w:t>经营范围</w:t>
            </w:r>
          </w:p>
        </w:tc>
        <w:tc>
          <w:tcPr>
            <w:tcW w:w="2767" w:type="dxa"/>
            <w:vAlign w:val="center"/>
          </w:tcPr>
          <w:p>
            <w:pPr>
              <w:adjustRightInd w:val="0"/>
              <w:snapToGrid w:val="0"/>
              <w:spacing w:line="460" w:lineRule="exact"/>
              <w:ind w:left="426" w:leftChars="200" w:hanging="6"/>
              <w:jc w:val="left"/>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2066" w:type="dxa"/>
            <w:vAlign w:val="center"/>
          </w:tcPr>
          <w:p>
            <w:pPr>
              <w:adjustRightInd w:val="0"/>
              <w:snapToGrid w:val="0"/>
              <w:spacing w:line="460" w:lineRule="exact"/>
              <w:ind w:left="426" w:leftChars="200" w:hanging="6"/>
              <w:jc w:val="left"/>
              <w:rPr>
                <w:rFonts w:ascii="宋体" w:hAnsi="宋体" w:cs="宋体"/>
                <w:sz w:val="24"/>
              </w:rPr>
            </w:pPr>
            <w:r>
              <w:rPr>
                <w:rFonts w:hint="eastAsia" w:ascii="宋体" w:hAnsi="宋体" w:cs="宋体"/>
                <w:sz w:val="24"/>
              </w:rPr>
              <w:t>企业组建时间</w:t>
            </w:r>
          </w:p>
        </w:tc>
        <w:tc>
          <w:tcPr>
            <w:tcW w:w="3294" w:type="dxa"/>
            <w:vAlign w:val="center"/>
          </w:tcPr>
          <w:p>
            <w:pPr>
              <w:adjustRightInd w:val="0"/>
              <w:snapToGrid w:val="0"/>
              <w:spacing w:line="460" w:lineRule="exact"/>
              <w:ind w:left="426" w:leftChars="200" w:hanging="6"/>
              <w:jc w:val="left"/>
              <w:rPr>
                <w:rFonts w:ascii="宋体" w:hAnsi="宋体" w:cs="宋体"/>
                <w:sz w:val="24"/>
              </w:rPr>
            </w:pPr>
          </w:p>
        </w:tc>
        <w:tc>
          <w:tcPr>
            <w:tcW w:w="1465" w:type="dxa"/>
            <w:vAlign w:val="center"/>
          </w:tcPr>
          <w:p>
            <w:pPr>
              <w:adjustRightInd w:val="0"/>
              <w:snapToGrid w:val="0"/>
              <w:spacing w:line="460" w:lineRule="exact"/>
              <w:ind w:left="426" w:leftChars="200" w:hanging="6"/>
              <w:jc w:val="left"/>
              <w:rPr>
                <w:rFonts w:ascii="宋体" w:hAnsi="宋体" w:cs="宋体"/>
                <w:sz w:val="24"/>
              </w:rPr>
            </w:pPr>
            <w:r>
              <w:rPr>
                <w:rFonts w:hint="eastAsia" w:ascii="宋体" w:hAnsi="宋体" w:cs="宋体"/>
                <w:sz w:val="24"/>
              </w:rPr>
              <w:t>企业邮编</w:t>
            </w:r>
          </w:p>
        </w:tc>
        <w:tc>
          <w:tcPr>
            <w:tcW w:w="2767" w:type="dxa"/>
            <w:vAlign w:val="center"/>
          </w:tcPr>
          <w:p>
            <w:pPr>
              <w:adjustRightInd w:val="0"/>
              <w:snapToGrid w:val="0"/>
              <w:spacing w:line="460" w:lineRule="exact"/>
              <w:ind w:left="426" w:leftChars="200" w:hanging="6"/>
              <w:jc w:val="left"/>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2066" w:type="dxa"/>
            <w:vAlign w:val="center"/>
          </w:tcPr>
          <w:p>
            <w:pPr>
              <w:adjustRightInd w:val="0"/>
              <w:snapToGrid w:val="0"/>
              <w:spacing w:line="460" w:lineRule="exact"/>
              <w:ind w:left="426" w:leftChars="200" w:hanging="6"/>
              <w:jc w:val="left"/>
              <w:rPr>
                <w:rFonts w:ascii="宋体" w:hAnsi="宋体" w:cs="宋体"/>
                <w:sz w:val="24"/>
              </w:rPr>
            </w:pPr>
            <w:r>
              <w:rPr>
                <w:rFonts w:hint="eastAsia" w:ascii="宋体" w:hAnsi="宋体" w:cs="宋体"/>
                <w:sz w:val="24"/>
              </w:rPr>
              <w:t>主要联系人职务</w:t>
            </w:r>
          </w:p>
        </w:tc>
        <w:tc>
          <w:tcPr>
            <w:tcW w:w="3294" w:type="dxa"/>
            <w:vAlign w:val="center"/>
          </w:tcPr>
          <w:p>
            <w:pPr>
              <w:adjustRightInd w:val="0"/>
              <w:snapToGrid w:val="0"/>
              <w:spacing w:line="460" w:lineRule="exact"/>
              <w:ind w:left="426" w:leftChars="200" w:hanging="6"/>
              <w:jc w:val="left"/>
              <w:rPr>
                <w:rFonts w:ascii="宋体" w:hAnsi="宋体" w:cs="宋体"/>
                <w:sz w:val="24"/>
              </w:rPr>
            </w:pPr>
          </w:p>
        </w:tc>
        <w:tc>
          <w:tcPr>
            <w:tcW w:w="1465" w:type="dxa"/>
            <w:vAlign w:val="center"/>
          </w:tcPr>
          <w:p>
            <w:pPr>
              <w:adjustRightInd w:val="0"/>
              <w:snapToGrid w:val="0"/>
              <w:spacing w:line="460" w:lineRule="exact"/>
              <w:ind w:left="426" w:leftChars="200" w:hanging="6"/>
              <w:jc w:val="left"/>
              <w:rPr>
                <w:rFonts w:ascii="宋体" w:hAnsi="宋体" w:cs="宋体"/>
                <w:sz w:val="24"/>
              </w:rPr>
            </w:pPr>
            <w:r>
              <w:rPr>
                <w:rFonts w:hint="eastAsia" w:ascii="宋体" w:hAnsi="宋体" w:cs="宋体"/>
                <w:sz w:val="24"/>
              </w:rPr>
              <w:t>电话</w:t>
            </w:r>
          </w:p>
        </w:tc>
        <w:tc>
          <w:tcPr>
            <w:tcW w:w="2767" w:type="dxa"/>
            <w:vAlign w:val="center"/>
          </w:tcPr>
          <w:p>
            <w:pPr>
              <w:adjustRightInd w:val="0"/>
              <w:snapToGrid w:val="0"/>
              <w:spacing w:line="460" w:lineRule="exact"/>
              <w:ind w:left="426" w:leftChars="200" w:hanging="6"/>
              <w:jc w:val="left"/>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jc w:val="center"/>
        </w:trPr>
        <w:tc>
          <w:tcPr>
            <w:tcW w:w="2066" w:type="dxa"/>
            <w:vAlign w:val="center"/>
          </w:tcPr>
          <w:p>
            <w:pPr>
              <w:adjustRightInd w:val="0"/>
              <w:snapToGrid w:val="0"/>
              <w:spacing w:line="460" w:lineRule="exact"/>
              <w:ind w:left="426" w:leftChars="200" w:hanging="6"/>
              <w:jc w:val="left"/>
              <w:rPr>
                <w:rFonts w:ascii="宋体" w:hAnsi="宋体" w:cs="宋体"/>
                <w:sz w:val="24"/>
              </w:rPr>
            </w:pPr>
            <w:r>
              <w:rPr>
                <w:rFonts w:hint="eastAsia" w:ascii="宋体" w:hAnsi="宋体" w:cs="宋体"/>
                <w:sz w:val="24"/>
              </w:rPr>
              <w:t>企业地址</w:t>
            </w:r>
          </w:p>
        </w:tc>
        <w:tc>
          <w:tcPr>
            <w:tcW w:w="3294" w:type="dxa"/>
            <w:vAlign w:val="center"/>
          </w:tcPr>
          <w:p>
            <w:pPr>
              <w:adjustRightInd w:val="0"/>
              <w:snapToGrid w:val="0"/>
              <w:spacing w:line="460" w:lineRule="exact"/>
              <w:ind w:left="426" w:leftChars="200" w:hanging="6"/>
              <w:jc w:val="left"/>
              <w:rPr>
                <w:rFonts w:ascii="宋体" w:hAnsi="宋体" w:cs="宋体"/>
                <w:sz w:val="24"/>
              </w:rPr>
            </w:pPr>
          </w:p>
        </w:tc>
        <w:tc>
          <w:tcPr>
            <w:tcW w:w="1465" w:type="dxa"/>
            <w:vAlign w:val="center"/>
          </w:tcPr>
          <w:p>
            <w:pPr>
              <w:adjustRightInd w:val="0"/>
              <w:snapToGrid w:val="0"/>
              <w:spacing w:line="460" w:lineRule="exact"/>
              <w:ind w:left="426" w:leftChars="200" w:hanging="6"/>
              <w:jc w:val="left"/>
              <w:rPr>
                <w:rFonts w:ascii="宋体" w:hAnsi="宋体" w:cs="宋体"/>
                <w:sz w:val="24"/>
              </w:rPr>
            </w:pPr>
            <w:r>
              <w:rPr>
                <w:rFonts w:hint="eastAsia" w:ascii="宋体" w:hAnsi="宋体" w:cs="宋体"/>
                <w:sz w:val="24"/>
              </w:rPr>
              <w:t>开户银行</w:t>
            </w:r>
          </w:p>
        </w:tc>
        <w:tc>
          <w:tcPr>
            <w:tcW w:w="2767" w:type="dxa"/>
            <w:vAlign w:val="center"/>
          </w:tcPr>
          <w:p>
            <w:pPr>
              <w:adjustRightInd w:val="0"/>
              <w:snapToGrid w:val="0"/>
              <w:spacing w:line="460" w:lineRule="exact"/>
              <w:ind w:left="426" w:leftChars="200" w:hanging="6"/>
              <w:jc w:val="left"/>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2066" w:type="dxa"/>
            <w:tcMar>
              <w:top w:w="0" w:type="dxa"/>
              <w:left w:w="108" w:type="dxa"/>
              <w:bottom w:w="0" w:type="dxa"/>
              <w:right w:w="108" w:type="dxa"/>
            </w:tcMar>
            <w:vAlign w:val="center"/>
          </w:tcPr>
          <w:p>
            <w:pPr>
              <w:adjustRightInd w:val="0"/>
              <w:snapToGrid w:val="0"/>
              <w:spacing w:line="460" w:lineRule="exact"/>
              <w:jc w:val="left"/>
              <w:rPr>
                <w:rFonts w:ascii="宋体" w:hAnsi="宋体" w:cs="宋体"/>
                <w:sz w:val="24"/>
              </w:rPr>
            </w:pPr>
            <w:r>
              <w:rPr>
                <w:rFonts w:hint="eastAsia" w:ascii="宋体" w:hAnsi="宋体" w:cs="宋体"/>
                <w:spacing w:val="40"/>
                <w:sz w:val="24"/>
              </w:rPr>
              <w:t>企业人员情</w:t>
            </w:r>
            <w:r>
              <w:rPr>
                <w:rFonts w:hint="eastAsia" w:ascii="宋体" w:hAnsi="宋体" w:cs="宋体"/>
                <w:sz w:val="24"/>
              </w:rPr>
              <w:t>况</w:t>
            </w:r>
          </w:p>
        </w:tc>
        <w:tc>
          <w:tcPr>
            <w:tcW w:w="3294" w:type="dxa"/>
            <w:tcMar>
              <w:top w:w="0" w:type="dxa"/>
              <w:left w:w="108" w:type="dxa"/>
              <w:bottom w:w="0" w:type="dxa"/>
              <w:right w:w="108" w:type="dxa"/>
            </w:tcMar>
            <w:vAlign w:val="center"/>
          </w:tcPr>
          <w:p>
            <w:pPr>
              <w:adjustRightInd w:val="0"/>
              <w:snapToGrid w:val="0"/>
              <w:ind w:left="426" w:leftChars="200" w:hanging="6"/>
              <w:jc w:val="left"/>
              <w:rPr>
                <w:rFonts w:ascii="宋体" w:hAnsi="宋体" w:cs="宋体"/>
                <w:sz w:val="24"/>
              </w:rPr>
            </w:pPr>
            <w:r>
              <w:rPr>
                <w:rFonts w:hint="eastAsia" w:ascii="宋体" w:hAnsi="宋体" w:cs="宋体"/>
                <w:w w:val="81"/>
                <w:sz w:val="24"/>
              </w:rPr>
              <w:t>企业总人数               人</w:t>
            </w:r>
          </w:p>
          <w:p>
            <w:pPr>
              <w:adjustRightInd w:val="0"/>
              <w:snapToGrid w:val="0"/>
              <w:ind w:left="426" w:leftChars="200" w:hanging="6"/>
              <w:jc w:val="left"/>
              <w:rPr>
                <w:rFonts w:ascii="宋体" w:hAnsi="宋体" w:cs="宋体"/>
                <w:sz w:val="24"/>
              </w:rPr>
            </w:pPr>
            <w:r>
              <w:rPr>
                <w:rFonts w:hint="eastAsia" w:ascii="宋体" w:hAnsi="宋体" w:cs="宋体"/>
                <w:sz w:val="24"/>
              </w:rPr>
              <w:t>在册工程技术人员         人</w:t>
            </w:r>
          </w:p>
          <w:p>
            <w:pPr>
              <w:adjustRightInd w:val="0"/>
              <w:snapToGrid w:val="0"/>
              <w:ind w:left="426" w:leftChars="200" w:hanging="6"/>
              <w:jc w:val="left"/>
              <w:rPr>
                <w:rFonts w:ascii="宋体" w:hAnsi="宋体" w:cs="宋体"/>
                <w:sz w:val="24"/>
              </w:rPr>
            </w:pPr>
            <w:r>
              <w:rPr>
                <w:rFonts w:hint="eastAsia" w:ascii="宋体" w:hAnsi="宋体" w:cs="宋体"/>
                <w:sz w:val="24"/>
              </w:rPr>
              <w:t xml:space="preserve">其中：                   </w:t>
            </w:r>
          </w:p>
          <w:p>
            <w:pPr>
              <w:adjustRightInd w:val="0"/>
              <w:snapToGrid w:val="0"/>
              <w:ind w:left="426" w:leftChars="200" w:hanging="6"/>
              <w:jc w:val="left"/>
              <w:rPr>
                <w:rFonts w:ascii="宋体" w:hAnsi="宋体" w:cs="宋体"/>
                <w:sz w:val="24"/>
              </w:rPr>
            </w:pPr>
            <w:r>
              <w:rPr>
                <w:rFonts w:hint="eastAsia" w:ascii="宋体" w:hAnsi="宋体" w:cs="宋体"/>
                <w:sz w:val="24"/>
              </w:rPr>
              <w:t>高级职称                 人</w:t>
            </w:r>
          </w:p>
          <w:p>
            <w:pPr>
              <w:adjustRightInd w:val="0"/>
              <w:snapToGrid w:val="0"/>
              <w:ind w:left="426" w:leftChars="200" w:hanging="6"/>
              <w:jc w:val="left"/>
              <w:rPr>
                <w:rFonts w:ascii="宋体" w:hAnsi="宋体" w:cs="宋体"/>
                <w:sz w:val="24"/>
              </w:rPr>
            </w:pPr>
            <w:r>
              <w:rPr>
                <w:rFonts w:hint="eastAsia" w:ascii="宋体" w:hAnsi="宋体" w:cs="宋体"/>
                <w:sz w:val="24"/>
              </w:rPr>
              <w:t>中级职称                 人</w:t>
            </w:r>
          </w:p>
          <w:p>
            <w:pPr>
              <w:adjustRightInd w:val="0"/>
              <w:snapToGrid w:val="0"/>
              <w:ind w:left="426" w:leftChars="200" w:hanging="6"/>
              <w:jc w:val="left"/>
              <w:rPr>
                <w:rFonts w:ascii="宋体" w:hAnsi="宋体" w:cs="宋体"/>
                <w:sz w:val="24"/>
              </w:rPr>
            </w:pPr>
            <w:r>
              <w:rPr>
                <w:rFonts w:hint="eastAsia" w:ascii="宋体" w:hAnsi="宋体" w:cs="宋体"/>
                <w:sz w:val="24"/>
              </w:rPr>
              <w:t>初级职称                 人</w:t>
            </w:r>
          </w:p>
          <w:p>
            <w:pPr>
              <w:adjustRightInd w:val="0"/>
              <w:snapToGrid w:val="0"/>
              <w:ind w:left="426" w:leftChars="200" w:hanging="6"/>
              <w:jc w:val="left"/>
              <w:rPr>
                <w:rFonts w:ascii="宋体" w:hAnsi="宋体" w:cs="宋体"/>
                <w:sz w:val="24"/>
              </w:rPr>
            </w:pPr>
          </w:p>
        </w:tc>
        <w:tc>
          <w:tcPr>
            <w:tcW w:w="4232" w:type="dxa"/>
            <w:gridSpan w:val="2"/>
            <w:tcMar>
              <w:top w:w="0" w:type="dxa"/>
              <w:left w:w="108" w:type="dxa"/>
              <w:bottom w:w="0" w:type="dxa"/>
              <w:right w:w="108" w:type="dxa"/>
            </w:tcMar>
            <w:vAlign w:val="center"/>
          </w:tcPr>
          <w:p>
            <w:pPr>
              <w:adjustRightInd w:val="0"/>
              <w:snapToGrid w:val="0"/>
              <w:ind w:left="426" w:leftChars="200" w:hanging="6"/>
              <w:jc w:val="left"/>
              <w:rPr>
                <w:rFonts w:ascii="宋体" w:hAnsi="宋体" w:cs="宋体"/>
                <w:sz w:val="24"/>
              </w:rPr>
            </w:pPr>
          </w:p>
          <w:p>
            <w:pPr>
              <w:adjustRightInd w:val="0"/>
              <w:snapToGrid w:val="0"/>
              <w:ind w:left="426" w:leftChars="200" w:hanging="6"/>
              <w:jc w:val="left"/>
              <w:rPr>
                <w:rFonts w:ascii="宋体" w:hAnsi="宋体" w:cs="宋体"/>
                <w:sz w:val="24"/>
              </w:rPr>
            </w:pPr>
            <w:r>
              <w:rPr>
                <w:rFonts w:hint="eastAsia" w:ascii="宋体" w:hAnsi="宋体" w:cs="宋体"/>
                <w:sz w:val="24"/>
              </w:rPr>
              <w:t>企业固定资产总额：   万元</w:t>
            </w:r>
          </w:p>
          <w:p>
            <w:pPr>
              <w:adjustRightInd w:val="0"/>
              <w:snapToGrid w:val="0"/>
              <w:ind w:left="426" w:leftChars="200" w:hanging="6"/>
              <w:jc w:val="left"/>
              <w:rPr>
                <w:rFonts w:ascii="宋体" w:hAnsi="宋体" w:cs="宋体"/>
                <w:sz w:val="24"/>
              </w:rPr>
            </w:pPr>
            <w:r>
              <w:rPr>
                <w:rFonts w:hint="eastAsia" w:ascii="宋体" w:hAnsi="宋体" w:cs="宋体"/>
                <w:sz w:val="24"/>
              </w:rPr>
              <w:t>其中：设备总数    台</w:t>
            </w:r>
          </w:p>
          <w:p>
            <w:pPr>
              <w:adjustRightInd w:val="0"/>
              <w:snapToGrid w:val="0"/>
              <w:ind w:left="426" w:leftChars="200" w:hanging="6"/>
              <w:jc w:val="left"/>
              <w:rPr>
                <w:rFonts w:ascii="宋体" w:hAnsi="宋体" w:cs="宋体"/>
                <w:sz w:val="24"/>
              </w:rPr>
            </w:pPr>
            <w:r>
              <w:rPr>
                <w:rFonts w:hint="eastAsia" w:ascii="宋体" w:hAnsi="宋体" w:cs="宋体"/>
                <w:sz w:val="24"/>
              </w:rPr>
              <w:t>计算机      台</w:t>
            </w:r>
          </w:p>
          <w:p>
            <w:pPr>
              <w:adjustRightInd w:val="0"/>
              <w:snapToGrid w:val="0"/>
              <w:ind w:left="426" w:leftChars="200" w:hanging="6"/>
              <w:jc w:val="left"/>
              <w:rPr>
                <w:rFonts w:ascii="宋体" w:hAnsi="宋体" w:cs="宋体"/>
                <w:sz w:val="24"/>
              </w:rPr>
            </w:pPr>
            <w:r>
              <w:rPr>
                <w:rFonts w:hint="eastAsia" w:ascii="宋体" w:hAnsi="宋体" w:cs="宋体"/>
                <w:sz w:val="24"/>
              </w:rPr>
              <w:t>测量仪器    台</w:t>
            </w:r>
          </w:p>
        </w:tc>
      </w:tr>
    </w:tbl>
    <w:p>
      <w:pPr>
        <w:adjustRightInd w:val="0"/>
        <w:snapToGrid w:val="0"/>
        <w:spacing w:line="460" w:lineRule="exact"/>
        <w:ind w:left="423" w:leftChars="200" w:hanging="3"/>
        <w:rPr>
          <w:rFonts w:ascii="宋体" w:hAnsi="宋体" w:cs="宋体"/>
          <w:sz w:val="24"/>
        </w:rPr>
      </w:pPr>
      <w:r>
        <w:rPr>
          <w:rFonts w:hint="eastAsia" w:ascii="宋体" w:hAnsi="宋体" w:cs="宋体"/>
          <w:sz w:val="24"/>
        </w:rPr>
        <w:t>注：本表不够时自制</w:t>
      </w:r>
    </w:p>
    <w:p>
      <w:pPr>
        <w:adjustRightInd w:val="0"/>
        <w:snapToGrid w:val="0"/>
        <w:spacing w:before="120"/>
        <w:ind w:left="423" w:leftChars="200" w:hanging="3"/>
        <w:rPr>
          <w:rFonts w:ascii="宋体" w:hAnsi="宋体" w:cs="宋体"/>
          <w:sz w:val="24"/>
        </w:rPr>
      </w:pPr>
      <w:r>
        <w:rPr>
          <w:rFonts w:hint="eastAsia" w:ascii="宋体" w:hAnsi="宋体" w:cs="宋体"/>
          <w:sz w:val="24"/>
        </w:rPr>
        <w:t>投标人（盖章）：</w:t>
      </w:r>
    </w:p>
    <w:p>
      <w:pPr>
        <w:adjustRightInd w:val="0"/>
        <w:snapToGrid w:val="0"/>
        <w:spacing w:before="120"/>
        <w:ind w:left="423" w:leftChars="200" w:hanging="3"/>
        <w:rPr>
          <w:rFonts w:ascii="宋体" w:hAnsi="宋体" w:cs="宋体"/>
          <w:sz w:val="24"/>
        </w:rPr>
      </w:pPr>
      <w:r>
        <w:rPr>
          <w:rFonts w:hint="eastAsia" w:ascii="宋体" w:hAnsi="宋体" w:cs="宋体"/>
          <w:sz w:val="24"/>
        </w:rPr>
        <w:t>法人代表或委托代理人（签字）：</w:t>
      </w:r>
    </w:p>
    <w:p>
      <w:pPr>
        <w:adjustRightInd w:val="0"/>
        <w:snapToGrid w:val="0"/>
        <w:spacing w:line="460" w:lineRule="exact"/>
        <w:ind w:left="423" w:leftChars="200" w:hanging="3"/>
        <w:jc w:val="left"/>
        <w:rPr>
          <w:rFonts w:ascii="宋体" w:hAnsi="宋体" w:cs="宋体"/>
          <w:sz w:val="24"/>
        </w:rPr>
      </w:pPr>
    </w:p>
    <w:p>
      <w:pPr>
        <w:adjustRightInd w:val="0"/>
        <w:snapToGrid w:val="0"/>
        <w:spacing w:line="460" w:lineRule="exact"/>
        <w:ind w:left="423" w:leftChars="200" w:hanging="3"/>
        <w:rPr>
          <w:rFonts w:ascii="宋体" w:hAnsi="宋体" w:cs="宋体"/>
          <w:sz w:val="24"/>
        </w:rPr>
      </w:pPr>
      <w:r>
        <w:rPr>
          <w:rFonts w:hint="eastAsia" w:ascii="宋体" w:hAnsi="宋体" w:cs="宋体"/>
          <w:sz w:val="24"/>
        </w:rPr>
        <w:t>年    月    日</w:t>
      </w:r>
    </w:p>
    <w:p>
      <w:pPr>
        <w:adjustRightInd w:val="0"/>
        <w:snapToGrid w:val="0"/>
        <w:spacing w:line="520" w:lineRule="exact"/>
        <w:ind w:left="423" w:leftChars="200" w:hanging="3"/>
        <w:rPr>
          <w:rFonts w:ascii="宋体" w:hAnsi="宋体" w:cs="宋体"/>
          <w:b/>
          <w:sz w:val="32"/>
          <w:szCs w:val="32"/>
        </w:rPr>
      </w:pPr>
    </w:p>
    <w:p>
      <w:pPr>
        <w:adjustRightInd w:val="0"/>
        <w:snapToGrid w:val="0"/>
        <w:spacing w:line="520" w:lineRule="exact"/>
        <w:ind w:left="423" w:leftChars="200" w:hanging="3"/>
        <w:rPr>
          <w:rFonts w:ascii="宋体" w:hAnsi="宋体" w:cs="宋体"/>
          <w:b/>
          <w:sz w:val="32"/>
          <w:szCs w:val="32"/>
        </w:rPr>
      </w:pPr>
      <w:r>
        <w:rPr>
          <w:rFonts w:hint="eastAsia" w:ascii="宋体" w:hAnsi="宋体" w:cs="宋体"/>
          <w:b/>
          <w:sz w:val="32"/>
          <w:szCs w:val="32"/>
        </w:rPr>
        <w:br w:type="page"/>
      </w:r>
      <w:r>
        <w:rPr>
          <w:rFonts w:hint="eastAsia" w:ascii="宋体" w:hAnsi="宋体" w:cs="宋体"/>
          <w:b/>
          <w:sz w:val="32"/>
          <w:szCs w:val="32"/>
        </w:rPr>
        <w:t>附件</w:t>
      </w:r>
    </w:p>
    <w:p>
      <w:pPr>
        <w:adjustRightInd w:val="0"/>
        <w:snapToGrid w:val="0"/>
        <w:spacing w:line="460" w:lineRule="exact"/>
        <w:ind w:left="423" w:leftChars="200" w:hanging="3"/>
        <w:jc w:val="center"/>
        <w:rPr>
          <w:rFonts w:ascii="宋体" w:hAnsi="宋体" w:cs="宋体"/>
          <w:b/>
          <w:sz w:val="36"/>
          <w:szCs w:val="32"/>
        </w:rPr>
      </w:pPr>
      <w:r>
        <w:rPr>
          <w:rFonts w:hint="eastAsia" w:ascii="宋体" w:hAnsi="宋体" w:cs="宋体"/>
          <w:b/>
          <w:sz w:val="36"/>
          <w:szCs w:val="32"/>
        </w:rPr>
        <w:t>项目班子人员组成</w:t>
      </w:r>
    </w:p>
    <w:tbl>
      <w:tblPr>
        <w:tblStyle w:val="23"/>
        <w:tblW w:w="904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8"/>
        <w:gridCol w:w="1461"/>
        <w:gridCol w:w="731"/>
        <w:gridCol w:w="731"/>
        <w:gridCol w:w="1489"/>
        <w:gridCol w:w="2205"/>
        <w:gridCol w:w="16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8" w:hRule="atLeast"/>
        </w:trPr>
        <w:tc>
          <w:tcPr>
            <w:tcW w:w="738" w:type="dxa"/>
            <w:vAlign w:val="center"/>
          </w:tcPr>
          <w:p>
            <w:pPr>
              <w:adjustRightInd w:val="0"/>
              <w:snapToGrid w:val="0"/>
              <w:spacing w:line="240" w:lineRule="atLeast"/>
              <w:ind w:left="423" w:leftChars="200" w:hanging="3"/>
              <w:jc w:val="center"/>
              <w:rPr>
                <w:rFonts w:ascii="宋体" w:hAnsi="宋体" w:cs="宋体"/>
                <w:bCs/>
                <w:sz w:val="24"/>
              </w:rPr>
            </w:pPr>
            <w:r>
              <w:rPr>
                <w:rFonts w:hint="eastAsia" w:ascii="宋体" w:hAnsi="宋体" w:cs="宋体"/>
                <w:bCs/>
                <w:sz w:val="24"/>
              </w:rPr>
              <w:t>序号</w:t>
            </w:r>
          </w:p>
        </w:tc>
        <w:tc>
          <w:tcPr>
            <w:tcW w:w="1461" w:type="dxa"/>
            <w:vAlign w:val="center"/>
          </w:tcPr>
          <w:p>
            <w:pPr>
              <w:adjustRightInd w:val="0"/>
              <w:snapToGrid w:val="0"/>
              <w:spacing w:line="240" w:lineRule="atLeast"/>
              <w:ind w:left="423" w:leftChars="200" w:hanging="3"/>
              <w:jc w:val="center"/>
              <w:rPr>
                <w:rFonts w:ascii="宋体" w:hAnsi="宋体" w:cs="宋体"/>
                <w:bCs/>
                <w:sz w:val="24"/>
              </w:rPr>
            </w:pPr>
            <w:r>
              <w:rPr>
                <w:rFonts w:hint="eastAsia" w:ascii="宋体" w:hAnsi="宋体" w:cs="宋体"/>
                <w:bCs/>
                <w:sz w:val="24"/>
              </w:rPr>
              <w:t>姓名</w:t>
            </w:r>
          </w:p>
        </w:tc>
        <w:tc>
          <w:tcPr>
            <w:tcW w:w="731" w:type="dxa"/>
            <w:vAlign w:val="center"/>
          </w:tcPr>
          <w:p>
            <w:pPr>
              <w:adjustRightInd w:val="0"/>
              <w:snapToGrid w:val="0"/>
              <w:spacing w:line="240" w:lineRule="atLeast"/>
              <w:ind w:left="423" w:leftChars="200" w:hanging="3"/>
              <w:jc w:val="center"/>
              <w:rPr>
                <w:rFonts w:ascii="宋体" w:hAnsi="宋体" w:cs="宋体"/>
                <w:bCs/>
                <w:sz w:val="24"/>
              </w:rPr>
            </w:pPr>
            <w:r>
              <w:rPr>
                <w:rFonts w:hint="eastAsia" w:ascii="宋体" w:hAnsi="宋体" w:cs="宋体"/>
                <w:bCs/>
                <w:sz w:val="24"/>
              </w:rPr>
              <w:t>学历</w:t>
            </w:r>
          </w:p>
        </w:tc>
        <w:tc>
          <w:tcPr>
            <w:tcW w:w="731" w:type="dxa"/>
            <w:vAlign w:val="center"/>
          </w:tcPr>
          <w:p>
            <w:pPr>
              <w:adjustRightInd w:val="0"/>
              <w:snapToGrid w:val="0"/>
              <w:spacing w:line="240" w:lineRule="atLeast"/>
              <w:ind w:left="423" w:leftChars="200" w:hanging="3"/>
              <w:jc w:val="center"/>
              <w:rPr>
                <w:rFonts w:ascii="宋体" w:hAnsi="宋体" w:cs="宋体"/>
                <w:bCs/>
                <w:sz w:val="24"/>
              </w:rPr>
            </w:pPr>
            <w:r>
              <w:rPr>
                <w:rFonts w:hint="eastAsia" w:ascii="宋体" w:hAnsi="宋体" w:cs="宋体"/>
                <w:bCs/>
                <w:sz w:val="24"/>
              </w:rPr>
              <w:t>职称</w:t>
            </w:r>
          </w:p>
        </w:tc>
        <w:tc>
          <w:tcPr>
            <w:tcW w:w="1489" w:type="dxa"/>
            <w:vAlign w:val="center"/>
          </w:tcPr>
          <w:p>
            <w:pPr>
              <w:adjustRightInd w:val="0"/>
              <w:snapToGrid w:val="0"/>
              <w:spacing w:line="240" w:lineRule="atLeast"/>
              <w:ind w:left="423" w:leftChars="200" w:hanging="3"/>
              <w:jc w:val="center"/>
              <w:rPr>
                <w:rFonts w:ascii="宋体" w:hAnsi="宋体" w:cs="宋体"/>
                <w:bCs/>
                <w:sz w:val="24"/>
              </w:rPr>
            </w:pPr>
            <w:r>
              <w:rPr>
                <w:rFonts w:hint="eastAsia" w:ascii="宋体" w:hAnsi="宋体" w:cs="宋体"/>
                <w:bCs/>
                <w:sz w:val="24"/>
              </w:rPr>
              <w:t>专业资格</w:t>
            </w:r>
          </w:p>
        </w:tc>
        <w:tc>
          <w:tcPr>
            <w:tcW w:w="2205" w:type="dxa"/>
            <w:vAlign w:val="center"/>
          </w:tcPr>
          <w:p>
            <w:pPr>
              <w:adjustRightInd w:val="0"/>
              <w:snapToGrid w:val="0"/>
              <w:spacing w:line="240" w:lineRule="atLeast"/>
              <w:ind w:left="423" w:leftChars="200" w:hanging="3"/>
              <w:jc w:val="center"/>
              <w:rPr>
                <w:rFonts w:ascii="宋体" w:hAnsi="宋体" w:cs="宋体"/>
                <w:bCs/>
                <w:sz w:val="24"/>
              </w:rPr>
            </w:pPr>
            <w:r>
              <w:rPr>
                <w:rFonts w:hint="eastAsia" w:ascii="宋体" w:hAnsi="宋体" w:cs="宋体"/>
                <w:bCs/>
                <w:sz w:val="24"/>
              </w:rPr>
              <w:t>担任职务/岗位</w:t>
            </w:r>
          </w:p>
        </w:tc>
        <w:tc>
          <w:tcPr>
            <w:tcW w:w="1689" w:type="dxa"/>
            <w:vAlign w:val="center"/>
          </w:tcPr>
          <w:p>
            <w:pPr>
              <w:adjustRightInd w:val="0"/>
              <w:snapToGrid w:val="0"/>
              <w:spacing w:line="240" w:lineRule="atLeast"/>
              <w:ind w:left="423" w:leftChars="200" w:hanging="3"/>
              <w:jc w:val="center"/>
              <w:rPr>
                <w:rFonts w:ascii="宋体" w:hAnsi="宋体" w:cs="宋体"/>
                <w:bCs/>
                <w:sz w:val="24"/>
              </w:rPr>
            </w:pPr>
            <w:r>
              <w:rPr>
                <w:rFonts w:hint="eastAsia" w:ascii="宋体" w:hAnsi="宋体" w:cs="宋体"/>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8" w:hRule="atLeast"/>
        </w:trPr>
        <w:tc>
          <w:tcPr>
            <w:tcW w:w="738" w:type="dxa"/>
            <w:vAlign w:val="center"/>
          </w:tcPr>
          <w:p>
            <w:pPr>
              <w:adjustRightInd w:val="0"/>
              <w:snapToGrid w:val="0"/>
              <w:spacing w:line="240" w:lineRule="atLeast"/>
              <w:ind w:left="423" w:leftChars="200" w:hanging="3"/>
              <w:jc w:val="center"/>
              <w:rPr>
                <w:rFonts w:ascii="宋体" w:hAnsi="宋体" w:cs="宋体"/>
                <w:b/>
                <w:bCs/>
                <w:sz w:val="24"/>
              </w:rPr>
            </w:pPr>
          </w:p>
        </w:tc>
        <w:tc>
          <w:tcPr>
            <w:tcW w:w="146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1489" w:type="dxa"/>
            <w:vAlign w:val="center"/>
          </w:tcPr>
          <w:p>
            <w:pPr>
              <w:adjustRightInd w:val="0"/>
              <w:snapToGrid w:val="0"/>
              <w:spacing w:line="240" w:lineRule="atLeast"/>
              <w:ind w:left="423" w:leftChars="200" w:hanging="3"/>
              <w:jc w:val="center"/>
              <w:rPr>
                <w:rFonts w:ascii="宋体" w:hAnsi="宋体" w:cs="宋体"/>
                <w:b/>
                <w:bCs/>
                <w:sz w:val="24"/>
              </w:rPr>
            </w:pPr>
          </w:p>
        </w:tc>
        <w:tc>
          <w:tcPr>
            <w:tcW w:w="2205" w:type="dxa"/>
            <w:vAlign w:val="center"/>
          </w:tcPr>
          <w:p>
            <w:pPr>
              <w:adjustRightInd w:val="0"/>
              <w:snapToGrid w:val="0"/>
              <w:spacing w:line="240" w:lineRule="atLeast"/>
              <w:ind w:left="423" w:leftChars="200" w:hanging="3"/>
              <w:jc w:val="center"/>
              <w:rPr>
                <w:rFonts w:ascii="宋体" w:hAnsi="宋体" w:cs="宋体"/>
                <w:b/>
                <w:bCs/>
                <w:sz w:val="24"/>
              </w:rPr>
            </w:pPr>
          </w:p>
        </w:tc>
        <w:tc>
          <w:tcPr>
            <w:tcW w:w="1689" w:type="dxa"/>
            <w:vAlign w:val="center"/>
          </w:tcPr>
          <w:p>
            <w:pPr>
              <w:adjustRightInd w:val="0"/>
              <w:snapToGrid w:val="0"/>
              <w:spacing w:line="240" w:lineRule="atLeast"/>
              <w:ind w:left="423" w:leftChars="200" w:hanging="3"/>
              <w:jc w:val="center"/>
              <w:rPr>
                <w:rFonts w:ascii="宋体" w:hAnsi="宋体" w:cs="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6" w:hRule="atLeast"/>
        </w:trPr>
        <w:tc>
          <w:tcPr>
            <w:tcW w:w="738" w:type="dxa"/>
            <w:vAlign w:val="center"/>
          </w:tcPr>
          <w:p>
            <w:pPr>
              <w:adjustRightInd w:val="0"/>
              <w:snapToGrid w:val="0"/>
              <w:spacing w:line="240" w:lineRule="atLeast"/>
              <w:ind w:left="423" w:leftChars="200" w:hanging="3"/>
              <w:jc w:val="center"/>
              <w:rPr>
                <w:rFonts w:ascii="宋体" w:hAnsi="宋体" w:cs="宋体"/>
                <w:b/>
                <w:bCs/>
                <w:sz w:val="24"/>
              </w:rPr>
            </w:pPr>
          </w:p>
        </w:tc>
        <w:tc>
          <w:tcPr>
            <w:tcW w:w="146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1489" w:type="dxa"/>
            <w:vAlign w:val="center"/>
          </w:tcPr>
          <w:p>
            <w:pPr>
              <w:adjustRightInd w:val="0"/>
              <w:snapToGrid w:val="0"/>
              <w:spacing w:line="240" w:lineRule="atLeast"/>
              <w:ind w:left="423" w:leftChars="200" w:hanging="3"/>
              <w:jc w:val="center"/>
              <w:rPr>
                <w:rFonts w:ascii="宋体" w:hAnsi="宋体" w:cs="宋体"/>
                <w:b/>
                <w:bCs/>
                <w:sz w:val="24"/>
              </w:rPr>
            </w:pPr>
          </w:p>
        </w:tc>
        <w:tc>
          <w:tcPr>
            <w:tcW w:w="2205" w:type="dxa"/>
            <w:vAlign w:val="center"/>
          </w:tcPr>
          <w:p>
            <w:pPr>
              <w:adjustRightInd w:val="0"/>
              <w:snapToGrid w:val="0"/>
              <w:spacing w:line="240" w:lineRule="atLeast"/>
              <w:ind w:left="423" w:leftChars="200" w:hanging="3"/>
              <w:jc w:val="center"/>
              <w:rPr>
                <w:rFonts w:ascii="宋体" w:hAnsi="宋体" w:cs="宋体"/>
                <w:b/>
                <w:bCs/>
                <w:sz w:val="24"/>
              </w:rPr>
            </w:pPr>
          </w:p>
        </w:tc>
        <w:tc>
          <w:tcPr>
            <w:tcW w:w="1689" w:type="dxa"/>
            <w:vAlign w:val="center"/>
          </w:tcPr>
          <w:p>
            <w:pPr>
              <w:adjustRightInd w:val="0"/>
              <w:snapToGrid w:val="0"/>
              <w:spacing w:line="240" w:lineRule="atLeast"/>
              <w:ind w:left="423" w:leftChars="200" w:hanging="3"/>
              <w:jc w:val="center"/>
              <w:rPr>
                <w:rFonts w:ascii="宋体" w:hAnsi="宋体" w:cs="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8" w:hRule="atLeast"/>
        </w:trPr>
        <w:tc>
          <w:tcPr>
            <w:tcW w:w="738" w:type="dxa"/>
            <w:vAlign w:val="center"/>
          </w:tcPr>
          <w:p>
            <w:pPr>
              <w:adjustRightInd w:val="0"/>
              <w:snapToGrid w:val="0"/>
              <w:spacing w:line="240" w:lineRule="atLeast"/>
              <w:ind w:left="423" w:leftChars="200" w:hanging="3"/>
              <w:jc w:val="center"/>
              <w:rPr>
                <w:rFonts w:ascii="宋体" w:hAnsi="宋体" w:cs="宋体"/>
                <w:b/>
                <w:bCs/>
                <w:sz w:val="24"/>
              </w:rPr>
            </w:pPr>
          </w:p>
        </w:tc>
        <w:tc>
          <w:tcPr>
            <w:tcW w:w="146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1489" w:type="dxa"/>
            <w:vAlign w:val="center"/>
          </w:tcPr>
          <w:p>
            <w:pPr>
              <w:adjustRightInd w:val="0"/>
              <w:snapToGrid w:val="0"/>
              <w:spacing w:line="240" w:lineRule="atLeast"/>
              <w:ind w:left="423" w:leftChars="200" w:hanging="3"/>
              <w:jc w:val="center"/>
              <w:rPr>
                <w:rFonts w:ascii="宋体" w:hAnsi="宋体" w:cs="宋体"/>
                <w:b/>
                <w:bCs/>
                <w:sz w:val="24"/>
              </w:rPr>
            </w:pPr>
          </w:p>
        </w:tc>
        <w:tc>
          <w:tcPr>
            <w:tcW w:w="2205" w:type="dxa"/>
            <w:vAlign w:val="center"/>
          </w:tcPr>
          <w:p>
            <w:pPr>
              <w:adjustRightInd w:val="0"/>
              <w:snapToGrid w:val="0"/>
              <w:spacing w:line="240" w:lineRule="atLeast"/>
              <w:ind w:left="423" w:leftChars="200" w:hanging="3"/>
              <w:jc w:val="center"/>
              <w:rPr>
                <w:rFonts w:ascii="宋体" w:hAnsi="宋体" w:cs="宋体"/>
                <w:b/>
                <w:bCs/>
                <w:sz w:val="24"/>
              </w:rPr>
            </w:pPr>
          </w:p>
        </w:tc>
        <w:tc>
          <w:tcPr>
            <w:tcW w:w="1689" w:type="dxa"/>
            <w:vAlign w:val="center"/>
          </w:tcPr>
          <w:p>
            <w:pPr>
              <w:adjustRightInd w:val="0"/>
              <w:snapToGrid w:val="0"/>
              <w:spacing w:line="240" w:lineRule="atLeast"/>
              <w:ind w:left="423" w:leftChars="200" w:hanging="3"/>
              <w:jc w:val="center"/>
              <w:rPr>
                <w:rFonts w:ascii="宋体" w:hAnsi="宋体" w:cs="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8" w:hRule="atLeast"/>
        </w:trPr>
        <w:tc>
          <w:tcPr>
            <w:tcW w:w="738" w:type="dxa"/>
            <w:vAlign w:val="center"/>
          </w:tcPr>
          <w:p>
            <w:pPr>
              <w:adjustRightInd w:val="0"/>
              <w:snapToGrid w:val="0"/>
              <w:spacing w:line="240" w:lineRule="atLeast"/>
              <w:ind w:left="423" w:leftChars="200" w:hanging="3"/>
              <w:jc w:val="center"/>
              <w:rPr>
                <w:rFonts w:ascii="宋体" w:hAnsi="宋体" w:cs="宋体"/>
                <w:b/>
                <w:bCs/>
                <w:sz w:val="24"/>
              </w:rPr>
            </w:pPr>
          </w:p>
        </w:tc>
        <w:tc>
          <w:tcPr>
            <w:tcW w:w="146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1489" w:type="dxa"/>
            <w:vAlign w:val="center"/>
          </w:tcPr>
          <w:p>
            <w:pPr>
              <w:adjustRightInd w:val="0"/>
              <w:snapToGrid w:val="0"/>
              <w:spacing w:line="240" w:lineRule="atLeast"/>
              <w:ind w:left="423" w:leftChars="200" w:hanging="3"/>
              <w:jc w:val="center"/>
              <w:rPr>
                <w:rFonts w:ascii="宋体" w:hAnsi="宋体" w:cs="宋体"/>
                <w:b/>
                <w:bCs/>
                <w:sz w:val="24"/>
              </w:rPr>
            </w:pPr>
          </w:p>
        </w:tc>
        <w:tc>
          <w:tcPr>
            <w:tcW w:w="2205" w:type="dxa"/>
            <w:vAlign w:val="center"/>
          </w:tcPr>
          <w:p>
            <w:pPr>
              <w:adjustRightInd w:val="0"/>
              <w:snapToGrid w:val="0"/>
              <w:spacing w:line="240" w:lineRule="atLeast"/>
              <w:ind w:left="423" w:leftChars="200" w:hanging="3"/>
              <w:jc w:val="center"/>
              <w:rPr>
                <w:rFonts w:ascii="宋体" w:hAnsi="宋体" w:cs="宋体"/>
                <w:b/>
                <w:bCs/>
                <w:sz w:val="24"/>
              </w:rPr>
            </w:pPr>
          </w:p>
        </w:tc>
        <w:tc>
          <w:tcPr>
            <w:tcW w:w="1689" w:type="dxa"/>
            <w:vAlign w:val="center"/>
          </w:tcPr>
          <w:p>
            <w:pPr>
              <w:adjustRightInd w:val="0"/>
              <w:snapToGrid w:val="0"/>
              <w:spacing w:line="240" w:lineRule="atLeast"/>
              <w:ind w:left="423" w:leftChars="200" w:hanging="3"/>
              <w:jc w:val="center"/>
              <w:rPr>
                <w:rFonts w:ascii="宋体" w:hAnsi="宋体" w:cs="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6" w:hRule="atLeast"/>
        </w:trPr>
        <w:tc>
          <w:tcPr>
            <w:tcW w:w="738" w:type="dxa"/>
            <w:vAlign w:val="center"/>
          </w:tcPr>
          <w:p>
            <w:pPr>
              <w:adjustRightInd w:val="0"/>
              <w:snapToGrid w:val="0"/>
              <w:spacing w:line="240" w:lineRule="atLeast"/>
              <w:ind w:left="423" w:leftChars="200" w:hanging="3"/>
              <w:jc w:val="center"/>
              <w:rPr>
                <w:rFonts w:ascii="宋体" w:hAnsi="宋体" w:cs="宋体"/>
                <w:b/>
                <w:bCs/>
                <w:sz w:val="24"/>
              </w:rPr>
            </w:pPr>
          </w:p>
        </w:tc>
        <w:tc>
          <w:tcPr>
            <w:tcW w:w="146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1489" w:type="dxa"/>
            <w:vAlign w:val="center"/>
          </w:tcPr>
          <w:p>
            <w:pPr>
              <w:adjustRightInd w:val="0"/>
              <w:snapToGrid w:val="0"/>
              <w:spacing w:line="240" w:lineRule="atLeast"/>
              <w:ind w:left="423" w:leftChars="200" w:hanging="3"/>
              <w:jc w:val="center"/>
              <w:rPr>
                <w:rFonts w:ascii="宋体" w:hAnsi="宋体" w:cs="宋体"/>
                <w:b/>
                <w:bCs/>
                <w:sz w:val="24"/>
              </w:rPr>
            </w:pPr>
          </w:p>
        </w:tc>
        <w:tc>
          <w:tcPr>
            <w:tcW w:w="2205" w:type="dxa"/>
            <w:vAlign w:val="center"/>
          </w:tcPr>
          <w:p>
            <w:pPr>
              <w:adjustRightInd w:val="0"/>
              <w:snapToGrid w:val="0"/>
              <w:spacing w:line="240" w:lineRule="atLeast"/>
              <w:ind w:left="423" w:leftChars="200" w:hanging="3"/>
              <w:jc w:val="center"/>
              <w:rPr>
                <w:rFonts w:ascii="宋体" w:hAnsi="宋体" w:cs="宋体"/>
                <w:b/>
                <w:bCs/>
                <w:sz w:val="24"/>
              </w:rPr>
            </w:pPr>
          </w:p>
        </w:tc>
        <w:tc>
          <w:tcPr>
            <w:tcW w:w="1689" w:type="dxa"/>
            <w:vAlign w:val="center"/>
          </w:tcPr>
          <w:p>
            <w:pPr>
              <w:adjustRightInd w:val="0"/>
              <w:snapToGrid w:val="0"/>
              <w:spacing w:line="240" w:lineRule="atLeast"/>
              <w:ind w:left="423" w:leftChars="200" w:hanging="3"/>
              <w:jc w:val="center"/>
              <w:rPr>
                <w:rFonts w:ascii="宋体" w:hAnsi="宋体" w:cs="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8" w:hRule="atLeast"/>
        </w:trPr>
        <w:tc>
          <w:tcPr>
            <w:tcW w:w="738" w:type="dxa"/>
            <w:vAlign w:val="center"/>
          </w:tcPr>
          <w:p>
            <w:pPr>
              <w:adjustRightInd w:val="0"/>
              <w:snapToGrid w:val="0"/>
              <w:spacing w:line="240" w:lineRule="atLeast"/>
              <w:ind w:left="423" w:leftChars="200" w:hanging="3"/>
              <w:jc w:val="center"/>
              <w:rPr>
                <w:rFonts w:ascii="宋体" w:hAnsi="宋体" w:cs="宋体"/>
                <w:b/>
                <w:bCs/>
                <w:sz w:val="24"/>
              </w:rPr>
            </w:pPr>
          </w:p>
        </w:tc>
        <w:tc>
          <w:tcPr>
            <w:tcW w:w="146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1489" w:type="dxa"/>
            <w:vAlign w:val="center"/>
          </w:tcPr>
          <w:p>
            <w:pPr>
              <w:adjustRightInd w:val="0"/>
              <w:snapToGrid w:val="0"/>
              <w:spacing w:line="240" w:lineRule="atLeast"/>
              <w:ind w:left="423" w:leftChars="200" w:hanging="3"/>
              <w:jc w:val="center"/>
              <w:rPr>
                <w:rFonts w:ascii="宋体" w:hAnsi="宋体" w:cs="宋体"/>
                <w:b/>
                <w:bCs/>
                <w:sz w:val="24"/>
              </w:rPr>
            </w:pPr>
          </w:p>
        </w:tc>
        <w:tc>
          <w:tcPr>
            <w:tcW w:w="2205" w:type="dxa"/>
            <w:vAlign w:val="center"/>
          </w:tcPr>
          <w:p>
            <w:pPr>
              <w:adjustRightInd w:val="0"/>
              <w:snapToGrid w:val="0"/>
              <w:spacing w:line="240" w:lineRule="atLeast"/>
              <w:ind w:left="423" w:leftChars="200" w:hanging="3"/>
              <w:jc w:val="center"/>
              <w:rPr>
                <w:rFonts w:ascii="宋体" w:hAnsi="宋体" w:cs="宋体"/>
                <w:b/>
                <w:bCs/>
                <w:sz w:val="24"/>
              </w:rPr>
            </w:pPr>
          </w:p>
        </w:tc>
        <w:tc>
          <w:tcPr>
            <w:tcW w:w="1689" w:type="dxa"/>
            <w:vAlign w:val="center"/>
          </w:tcPr>
          <w:p>
            <w:pPr>
              <w:adjustRightInd w:val="0"/>
              <w:snapToGrid w:val="0"/>
              <w:spacing w:line="240" w:lineRule="atLeast"/>
              <w:ind w:left="423" w:leftChars="200" w:hanging="3"/>
              <w:jc w:val="center"/>
              <w:rPr>
                <w:rFonts w:ascii="宋体" w:hAnsi="宋体" w:cs="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488" w:hRule="atLeast"/>
        </w:trPr>
        <w:tc>
          <w:tcPr>
            <w:tcW w:w="738" w:type="dxa"/>
            <w:vAlign w:val="center"/>
          </w:tcPr>
          <w:p>
            <w:pPr>
              <w:adjustRightInd w:val="0"/>
              <w:snapToGrid w:val="0"/>
              <w:spacing w:line="240" w:lineRule="atLeast"/>
              <w:ind w:left="423" w:leftChars="200" w:hanging="3"/>
              <w:jc w:val="center"/>
              <w:rPr>
                <w:rFonts w:ascii="宋体" w:hAnsi="宋体" w:cs="宋体"/>
                <w:b/>
                <w:bCs/>
                <w:sz w:val="24"/>
              </w:rPr>
            </w:pPr>
          </w:p>
        </w:tc>
        <w:tc>
          <w:tcPr>
            <w:tcW w:w="146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1489" w:type="dxa"/>
            <w:vAlign w:val="center"/>
          </w:tcPr>
          <w:p>
            <w:pPr>
              <w:adjustRightInd w:val="0"/>
              <w:snapToGrid w:val="0"/>
              <w:spacing w:line="240" w:lineRule="atLeast"/>
              <w:ind w:left="423" w:leftChars="200" w:hanging="3"/>
              <w:jc w:val="center"/>
              <w:rPr>
                <w:rFonts w:ascii="宋体" w:hAnsi="宋体" w:cs="宋体"/>
                <w:b/>
                <w:bCs/>
                <w:sz w:val="24"/>
              </w:rPr>
            </w:pPr>
          </w:p>
        </w:tc>
        <w:tc>
          <w:tcPr>
            <w:tcW w:w="2205" w:type="dxa"/>
            <w:vAlign w:val="center"/>
          </w:tcPr>
          <w:p>
            <w:pPr>
              <w:adjustRightInd w:val="0"/>
              <w:snapToGrid w:val="0"/>
              <w:spacing w:line="240" w:lineRule="atLeast"/>
              <w:ind w:left="423" w:leftChars="200" w:hanging="3"/>
              <w:jc w:val="center"/>
              <w:rPr>
                <w:rFonts w:ascii="宋体" w:hAnsi="宋体" w:cs="宋体"/>
                <w:b/>
                <w:bCs/>
                <w:sz w:val="24"/>
              </w:rPr>
            </w:pPr>
          </w:p>
        </w:tc>
        <w:tc>
          <w:tcPr>
            <w:tcW w:w="1689" w:type="dxa"/>
            <w:vAlign w:val="center"/>
          </w:tcPr>
          <w:p>
            <w:pPr>
              <w:adjustRightInd w:val="0"/>
              <w:snapToGrid w:val="0"/>
              <w:spacing w:line="240" w:lineRule="atLeast"/>
              <w:ind w:left="423" w:leftChars="200" w:hanging="3"/>
              <w:jc w:val="center"/>
              <w:rPr>
                <w:rFonts w:ascii="宋体" w:hAnsi="宋体" w:cs="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6" w:hRule="atLeast"/>
        </w:trPr>
        <w:tc>
          <w:tcPr>
            <w:tcW w:w="738" w:type="dxa"/>
            <w:vAlign w:val="center"/>
          </w:tcPr>
          <w:p>
            <w:pPr>
              <w:adjustRightInd w:val="0"/>
              <w:snapToGrid w:val="0"/>
              <w:spacing w:line="240" w:lineRule="atLeast"/>
              <w:ind w:left="423" w:leftChars="200" w:hanging="3"/>
              <w:jc w:val="center"/>
              <w:rPr>
                <w:rFonts w:ascii="宋体" w:hAnsi="宋体" w:cs="宋体"/>
                <w:b/>
                <w:bCs/>
                <w:sz w:val="24"/>
              </w:rPr>
            </w:pPr>
          </w:p>
        </w:tc>
        <w:tc>
          <w:tcPr>
            <w:tcW w:w="146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1489" w:type="dxa"/>
            <w:vAlign w:val="center"/>
          </w:tcPr>
          <w:p>
            <w:pPr>
              <w:adjustRightInd w:val="0"/>
              <w:snapToGrid w:val="0"/>
              <w:spacing w:line="240" w:lineRule="atLeast"/>
              <w:ind w:left="423" w:leftChars="200" w:hanging="3"/>
              <w:jc w:val="center"/>
              <w:rPr>
                <w:rFonts w:ascii="宋体" w:hAnsi="宋体" w:cs="宋体"/>
                <w:b/>
                <w:bCs/>
                <w:sz w:val="24"/>
              </w:rPr>
            </w:pPr>
          </w:p>
        </w:tc>
        <w:tc>
          <w:tcPr>
            <w:tcW w:w="2205" w:type="dxa"/>
            <w:vAlign w:val="center"/>
          </w:tcPr>
          <w:p>
            <w:pPr>
              <w:adjustRightInd w:val="0"/>
              <w:snapToGrid w:val="0"/>
              <w:spacing w:line="240" w:lineRule="atLeast"/>
              <w:ind w:left="423" w:leftChars="200" w:hanging="3"/>
              <w:jc w:val="center"/>
              <w:rPr>
                <w:rFonts w:ascii="宋体" w:hAnsi="宋体" w:cs="宋体"/>
                <w:b/>
                <w:bCs/>
                <w:sz w:val="24"/>
              </w:rPr>
            </w:pPr>
          </w:p>
        </w:tc>
        <w:tc>
          <w:tcPr>
            <w:tcW w:w="1689" w:type="dxa"/>
            <w:vAlign w:val="center"/>
          </w:tcPr>
          <w:p>
            <w:pPr>
              <w:adjustRightInd w:val="0"/>
              <w:snapToGrid w:val="0"/>
              <w:spacing w:line="240" w:lineRule="atLeast"/>
              <w:ind w:left="423" w:leftChars="200" w:hanging="3"/>
              <w:jc w:val="center"/>
              <w:rPr>
                <w:rFonts w:ascii="宋体" w:hAnsi="宋体" w:cs="宋体"/>
                <w:b/>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Ex>
        <w:trPr>
          <w:trHeight w:val="516" w:hRule="atLeast"/>
        </w:trPr>
        <w:tc>
          <w:tcPr>
            <w:tcW w:w="738" w:type="dxa"/>
            <w:vAlign w:val="center"/>
          </w:tcPr>
          <w:p>
            <w:pPr>
              <w:adjustRightInd w:val="0"/>
              <w:snapToGrid w:val="0"/>
              <w:spacing w:line="240" w:lineRule="atLeast"/>
              <w:ind w:left="423" w:leftChars="200" w:hanging="3"/>
              <w:jc w:val="center"/>
              <w:rPr>
                <w:rFonts w:ascii="宋体" w:hAnsi="宋体" w:cs="宋体"/>
                <w:b/>
                <w:bCs/>
                <w:sz w:val="24"/>
              </w:rPr>
            </w:pPr>
          </w:p>
        </w:tc>
        <w:tc>
          <w:tcPr>
            <w:tcW w:w="146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731" w:type="dxa"/>
            <w:vAlign w:val="center"/>
          </w:tcPr>
          <w:p>
            <w:pPr>
              <w:adjustRightInd w:val="0"/>
              <w:snapToGrid w:val="0"/>
              <w:spacing w:line="240" w:lineRule="atLeast"/>
              <w:ind w:left="423" w:leftChars="200" w:hanging="3"/>
              <w:jc w:val="center"/>
              <w:rPr>
                <w:rFonts w:ascii="宋体" w:hAnsi="宋体" w:cs="宋体"/>
                <w:b/>
                <w:bCs/>
                <w:sz w:val="24"/>
              </w:rPr>
            </w:pPr>
          </w:p>
        </w:tc>
        <w:tc>
          <w:tcPr>
            <w:tcW w:w="1489" w:type="dxa"/>
            <w:vAlign w:val="center"/>
          </w:tcPr>
          <w:p>
            <w:pPr>
              <w:adjustRightInd w:val="0"/>
              <w:snapToGrid w:val="0"/>
              <w:spacing w:line="240" w:lineRule="atLeast"/>
              <w:ind w:left="423" w:leftChars="200" w:hanging="3"/>
              <w:jc w:val="center"/>
              <w:rPr>
                <w:rFonts w:ascii="宋体" w:hAnsi="宋体" w:cs="宋体"/>
                <w:b/>
                <w:bCs/>
                <w:sz w:val="24"/>
              </w:rPr>
            </w:pPr>
          </w:p>
        </w:tc>
        <w:tc>
          <w:tcPr>
            <w:tcW w:w="2205" w:type="dxa"/>
            <w:vAlign w:val="center"/>
          </w:tcPr>
          <w:p>
            <w:pPr>
              <w:adjustRightInd w:val="0"/>
              <w:snapToGrid w:val="0"/>
              <w:spacing w:line="240" w:lineRule="atLeast"/>
              <w:ind w:left="423" w:leftChars="200" w:hanging="3"/>
              <w:jc w:val="center"/>
              <w:rPr>
                <w:rFonts w:ascii="宋体" w:hAnsi="宋体" w:cs="宋体"/>
                <w:b/>
                <w:bCs/>
                <w:sz w:val="24"/>
              </w:rPr>
            </w:pPr>
          </w:p>
        </w:tc>
        <w:tc>
          <w:tcPr>
            <w:tcW w:w="1689" w:type="dxa"/>
            <w:vAlign w:val="center"/>
          </w:tcPr>
          <w:p>
            <w:pPr>
              <w:adjustRightInd w:val="0"/>
              <w:snapToGrid w:val="0"/>
              <w:spacing w:line="240" w:lineRule="atLeast"/>
              <w:ind w:left="423" w:leftChars="200" w:hanging="3"/>
              <w:jc w:val="center"/>
              <w:rPr>
                <w:rFonts w:ascii="宋体" w:hAnsi="宋体" w:cs="宋体"/>
                <w:b/>
                <w:bCs/>
                <w:sz w:val="24"/>
              </w:rPr>
            </w:pPr>
          </w:p>
        </w:tc>
      </w:tr>
    </w:tbl>
    <w:p>
      <w:pPr>
        <w:adjustRightInd w:val="0"/>
        <w:snapToGrid w:val="0"/>
        <w:spacing w:line="460" w:lineRule="exact"/>
        <w:ind w:left="423" w:leftChars="200" w:hanging="3"/>
        <w:rPr>
          <w:rFonts w:ascii="宋体" w:hAnsi="宋体" w:cs="宋体"/>
          <w:sz w:val="24"/>
        </w:rPr>
      </w:pPr>
      <w:r>
        <w:rPr>
          <w:rFonts w:hint="eastAsia" w:ascii="宋体" w:hAnsi="宋体" w:cs="宋体"/>
          <w:sz w:val="24"/>
        </w:rPr>
        <w:t>投标人：（盖公章）</w:t>
      </w:r>
    </w:p>
    <w:p>
      <w:pPr>
        <w:adjustRightInd w:val="0"/>
        <w:snapToGrid w:val="0"/>
        <w:spacing w:line="460" w:lineRule="exact"/>
        <w:ind w:left="423" w:leftChars="200" w:hanging="3"/>
        <w:jc w:val="left"/>
        <w:rPr>
          <w:rFonts w:ascii="宋体" w:hAnsi="宋体" w:cs="宋体"/>
          <w:sz w:val="24"/>
        </w:rPr>
      </w:pPr>
      <w:r>
        <w:rPr>
          <w:rFonts w:hint="eastAsia" w:ascii="宋体" w:hAnsi="宋体" w:cs="宋体"/>
          <w:sz w:val="24"/>
        </w:rPr>
        <w:t>法定代表人或其授权委托代理人：（签字）</w:t>
      </w:r>
    </w:p>
    <w:p>
      <w:pPr>
        <w:adjustRightInd w:val="0"/>
        <w:snapToGrid w:val="0"/>
        <w:spacing w:line="460" w:lineRule="exact"/>
        <w:ind w:left="423" w:leftChars="200" w:hanging="3"/>
        <w:rPr>
          <w:rFonts w:ascii="宋体" w:hAnsi="宋体" w:cs="宋体"/>
          <w:sz w:val="24"/>
        </w:rPr>
      </w:pPr>
      <w:r>
        <w:rPr>
          <w:rFonts w:hint="eastAsia" w:ascii="宋体" w:hAnsi="宋体" w:cs="宋体"/>
          <w:sz w:val="24"/>
        </w:rPr>
        <w:t>年    月     日</w:t>
      </w: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520" w:lineRule="exact"/>
        <w:ind w:left="423" w:leftChars="200" w:hanging="3"/>
        <w:rPr>
          <w:rFonts w:ascii="宋体" w:hAnsi="宋体" w:cs="宋体"/>
          <w:b/>
          <w:sz w:val="32"/>
          <w:szCs w:val="32"/>
        </w:rPr>
      </w:pPr>
    </w:p>
    <w:p>
      <w:pPr>
        <w:adjustRightInd w:val="0"/>
        <w:snapToGrid w:val="0"/>
        <w:spacing w:line="520" w:lineRule="exact"/>
        <w:ind w:left="423" w:leftChars="200" w:hanging="3"/>
        <w:outlineLvl w:val="0"/>
        <w:rPr>
          <w:rFonts w:ascii="宋体" w:hAnsi="宋体" w:cs="宋体"/>
          <w:b/>
          <w:sz w:val="32"/>
          <w:szCs w:val="32"/>
        </w:rPr>
      </w:pPr>
      <w:bookmarkStart w:id="446" w:name="_Toc11433"/>
      <w:bookmarkStart w:id="447" w:name="_Toc28932"/>
      <w:bookmarkStart w:id="448" w:name="_Toc23623"/>
      <w:bookmarkStart w:id="449" w:name="_Toc32242"/>
      <w:bookmarkStart w:id="450" w:name="_Toc4008"/>
      <w:r>
        <w:rPr>
          <w:rFonts w:hint="eastAsia" w:ascii="宋体" w:hAnsi="宋体" w:cs="宋体"/>
          <w:b/>
          <w:sz w:val="32"/>
          <w:szCs w:val="32"/>
        </w:rPr>
        <w:t>附件</w:t>
      </w:r>
      <w:bookmarkEnd w:id="446"/>
      <w:bookmarkEnd w:id="447"/>
      <w:bookmarkEnd w:id="448"/>
      <w:bookmarkEnd w:id="449"/>
      <w:bookmarkEnd w:id="450"/>
    </w:p>
    <w:p>
      <w:pPr>
        <w:adjustRightInd w:val="0"/>
        <w:snapToGrid w:val="0"/>
        <w:spacing w:line="460" w:lineRule="exact"/>
        <w:ind w:left="423" w:leftChars="200" w:hanging="3"/>
        <w:jc w:val="center"/>
        <w:rPr>
          <w:rFonts w:ascii="宋体" w:hAnsi="宋体" w:cs="宋体"/>
          <w:b/>
          <w:sz w:val="36"/>
          <w:szCs w:val="32"/>
        </w:rPr>
      </w:pPr>
      <w:r>
        <w:rPr>
          <w:rFonts w:hint="eastAsia" w:ascii="宋体" w:hAnsi="宋体" w:cs="宋体"/>
          <w:b/>
          <w:sz w:val="36"/>
          <w:szCs w:val="32"/>
        </w:rPr>
        <w:t>拟派本项目经理资格、业绩表</w:t>
      </w:r>
    </w:p>
    <w:tbl>
      <w:tblPr>
        <w:tblStyle w:val="23"/>
        <w:tblW w:w="91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25"/>
        <w:gridCol w:w="2295"/>
        <w:gridCol w:w="45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2325"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姓名</w:t>
            </w:r>
          </w:p>
        </w:tc>
        <w:tc>
          <w:tcPr>
            <w:tcW w:w="2295" w:type="dxa"/>
            <w:vAlign w:val="center"/>
          </w:tcPr>
          <w:p>
            <w:pPr>
              <w:widowControl/>
              <w:adjustRightInd w:val="0"/>
              <w:snapToGrid w:val="0"/>
              <w:ind w:left="423" w:leftChars="200" w:hanging="3"/>
              <w:jc w:val="center"/>
              <w:rPr>
                <w:rFonts w:ascii="宋体" w:hAnsi="宋体" w:cs="宋体"/>
                <w:sz w:val="24"/>
              </w:rPr>
            </w:pPr>
          </w:p>
          <w:p>
            <w:pPr>
              <w:adjustRightInd w:val="0"/>
              <w:snapToGrid w:val="0"/>
              <w:spacing w:line="460" w:lineRule="exact"/>
              <w:ind w:left="423" w:leftChars="200" w:hanging="3"/>
              <w:jc w:val="center"/>
              <w:rPr>
                <w:rFonts w:ascii="宋体" w:hAnsi="宋体" w:cs="宋体"/>
                <w:sz w:val="24"/>
              </w:rPr>
            </w:pPr>
          </w:p>
        </w:tc>
        <w:tc>
          <w:tcPr>
            <w:tcW w:w="4500" w:type="dxa"/>
            <w:vAlign w:val="center"/>
          </w:tcPr>
          <w:p>
            <w:pPr>
              <w:widowControl/>
              <w:adjustRightInd w:val="0"/>
              <w:snapToGrid w:val="0"/>
              <w:ind w:left="423" w:leftChars="200" w:hanging="3"/>
              <w:jc w:val="center"/>
              <w:rPr>
                <w:rFonts w:ascii="宋体" w:hAnsi="宋体" w:cs="宋体"/>
                <w:sz w:val="24"/>
              </w:rPr>
            </w:pPr>
            <w:r>
              <w:rPr>
                <w:rFonts w:hint="eastAsia" w:ascii="宋体" w:hAnsi="宋体" w:cs="宋体"/>
                <w:sz w:val="24"/>
              </w:rPr>
              <w:t>近五年来的主要工作业绩及担任的</w:t>
            </w:r>
          </w:p>
          <w:p>
            <w:pPr>
              <w:widowControl/>
              <w:adjustRightInd w:val="0"/>
              <w:snapToGrid w:val="0"/>
              <w:ind w:left="423" w:leftChars="200" w:hanging="3"/>
              <w:jc w:val="center"/>
              <w:rPr>
                <w:rFonts w:ascii="宋体" w:hAnsi="宋体" w:cs="宋体"/>
                <w:sz w:val="24"/>
              </w:rPr>
            </w:pPr>
            <w:r>
              <w:rPr>
                <w:rFonts w:hint="eastAsia" w:ascii="宋体" w:hAnsi="宋体" w:cs="宋体"/>
                <w:sz w:val="24"/>
              </w:rPr>
              <w:t>主要工作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2325"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性别</w:t>
            </w:r>
          </w:p>
        </w:tc>
        <w:tc>
          <w:tcPr>
            <w:tcW w:w="2295" w:type="dxa"/>
            <w:vAlign w:val="center"/>
          </w:tcPr>
          <w:p>
            <w:pPr>
              <w:widowControl/>
              <w:adjustRightInd w:val="0"/>
              <w:snapToGrid w:val="0"/>
              <w:ind w:left="423" w:leftChars="200" w:hanging="3"/>
              <w:jc w:val="center"/>
              <w:rPr>
                <w:rFonts w:ascii="宋体" w:hAnsi="宋体" w:cs="宋体"/>
                <w:sz w:val="24"/>
              </w:rPr>
            </w:pPr>
          </w:p>
          <w:p>
            <w:pPr>
              <w:adjustRightInd w:val="0"/>
              <w:snapToGrid w:val="0"/>
              <w:spacing w:line="460" w:lineRule="exact"/>
              <w:ind w:left="423" w:leftChars="200" w:hanging="3"/>
              <w:jc w:val="center"/>
              <w:rPr>
                <w:rFonts w:ascii="宋体" w:hAnsi="宋体" w:cs="宋体"/>
                <w:sz w:val="24"/>
              </w:rPr>
            </w:pPr>
          </w:p>
        </w:tc>
        <w:tc>
          <w:tcPr>
            <w:tcW w:w="4500" w:type="dxa"/>
            <w:vMerge w:val="restart"/>
            <w:vAlign w:val="center"/>
          </w:tcPr>
          <w:p>
            <w:pPr>
              <w:widowControl/>
              <w:adjustRightInd w:val="0"/>
              <w:snapToGrid w:val="0"/>
              <w:ind w:left="423" w:leftChars="200" w:hanging="3"/>
              <w:jc w:val="center"/>
              <w:rPr>
                <w:rFonts w:ascii="宋体" w:hAnsi="宋体" w:cs="宋体"/>
                <w:sz w:val="24"/>
              </w:rPr>
            </w:pPr>
          </w:p>
          <w:p>
            <w:pPr>
              <w:widowControl/>
              <w:adjustRightInd w:val="0"/>
              <w:snapToGrid w:val="0"/>
              <w:ind w:left="423" w:leftChars="200" w:hanging="3"/>
              <w:jc w:val="center"/>
              <w:rPr>
                <w:rFonts w:ascii="宋体" w:hAnsi="宋体" w:cs="宋体"/>
                <w:sz w:val="24"/>
              </w:rPr>
            </w:pPr>
          </w:p>
          <w:p>
            <w:pPr>
              <w:widowControl/>
              <w:adjustRightInd w:val="0"/>
              <w:snapToGrid w:val="0"/>
              <w:ind w:left="423" w:leftChars="200" w:hanging="3"/>
              <w:jc w:val="center"/>
              <w:rPr>
                <w:rFonts w:ascii="宋体" w:hAnsi="宋体" w:cs="宋体"/>
                <w:sz w:val="24"/>
              </w:rPr>
            </w:pPr>
          </w:p>
          <w:p>
            <w:pPr>
              <w:widowControl/>
              <w:adjustRightInd w:val="0"/>
              <w:snapToGrid w:val="0"/>
              <w:ind w:left="423" w:leftChars="200" w:hanging="3"/>
              <w:jc w:val="center"/>
              <w:rPr>
                <w:rFonts w:ascii="宋体" w:hAnsi="宋体" w:cs="宋体"/>
                <w:sz w:val="24"/>
              </w:rPr>
            </w:pPr>
          </w:p>
          <w:p>
            <w:pPr>
              <w:widowControl/>
              <w:adjustRightInd w:val="0"/>
              <w:snapToGrid w:val="0"/>
              <w:ind w:left="423" w:leftChars="200" w:hanging="3"/>
              <w:jc w:val="center"/>
              <w:rPr>
                <w:rFonts w:ascii="宋体" w:hAnsi="宋体" w:cs="宋体"/>
                <w:sz w:val="24"/>
              </w:rPr>
            </w:pPr>
          </w:p>
          <w:p>
            <w:pPr>
              <w:widowControl/>
              <w:adjustRightInd w:val="0"/>
              <w:snapToGrid w:val="0"/>
              <w:ind w:left="423" w:leftChars="200" w:hanging="3"/>
              <w:jc w:val="center"/>
              <w:rPr>
                <w:rFonts w:ascii="宋体" w:hAnsi="宋体" w:cs="宋体"/>
                <w:sz w:val="24"/>
              </w:rPr>
            </w:pPr>
          </w:p>
          <w:p>
            <w:pPr>
              <w:widowControl/>
              <w:adjustRightInd w:val="0"/>
              <w:snapToGrid w:val="0"/>
              <w:ind w:left="423" w:leftChars="200" w:hanging="3"/>
              <w:jc w:val="center"/>
              <w:rPr>
                <w:rFonts w:ascii="宋体" w:hAnsi="宋体" w:cs="宋体"/>
                <w:sz w:val="24"/>
              </w:rPr>
            </w:pPr>
          </w:p>
          <w:p>
            <w:pPr>
              <w:widowControl/>
              <w:adjustRightInd w:val="0"/>
              <w:snapToGrid w:val="0"/>
              <w:ind w:left="423" w:leftChars="200" w:hanging="3"/>
              <w:jc w:val="center"/>
              <w:rPr>
                <w:rFonts w:ascii="宋体" w:hAnsi="宋体" w:cs="宋体"/>
                <w:sz w:val="24"/>
              </w:rPr>
            </w:pPr>
          </w:p>
          <w:p>
            <w:pPr>
              <w:widowControl/>
              <w:adjustRightInd w:val="0"/>
              <w:snapToGrid w:val="0"/>
              <w:ind w:left="423" w:leftChars="200" w:hanging="3"/>
              <w:jc w:val="center"/>
              <w:rPr>
                <w:rFonts w:ascii="宋体" w:hAnsi="宋体" w:cs="宋体"/>
                <w:sz w:val="24"/>
              </w:rPr>
            </w:pPr>
          </w:p>
          <w:p>
            <w:pPr>
              <w:adjustRightInd w:val="0"/>
              <w:snapToGrid w:val="0"/>
              <w:spacing w:line="460" w:lineRule="exact"/>
              <w:ind w:left="423" w:leftChars="200" w:hanging="3"/>
              <w:jc w:val="center"/>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2325"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年龄</w:t>
            </w:r>
          </w:p>
        </w:tc>
        <w:tc>
          <w:tcPr>
            <w:tcW w:w="2295" w:type="dxa"/>
            <w:vAlign w:val="center"/>
          </w:tcPr>
          <w:p>
            <w:pPr>
              <w:widowControl/>
              <w:adjustRightInd w:val="0"/>
              <w:snapToGrid w:val="0"/>
              <w:ind w:left="423" w:leftChars="200" w:hanging="3"/>
              <w:jc w:val="center"/>
              <w:rPr>
                <w:rFonts w:ascii="宋体" w:hAnsi="宋体" w:cs="宋体"/>
                <w:sz w:val="24"/>
              </w:rPr>
            </w:pPr>
          </w:p>
          <w:p>
            <w:pPr>
              <w:adjustRightInd w:val="0"/>
              <w:snapToGrid w:val="0"/>
              <w:spacing w:line="460" w:lineRule="exact"/>
              <w:ind w:left="423" w:leftChars="200" w:hanging="3"/>
              <w:jc w:val="center"/>
              <w:rPr>
                <w:rFonts w:ascii="宋体" w:hAnsi="宋体" w:cs="宋体"/>
                <w:sz w:val="24"/>
              </w:rPr>
            </w:pPr>
          </w:p>
        </w:tc>
        <w:tc>
          <w:tcPr>
            <w:tcW w:w="4500" w:type="dxa"/>
            <w:vMerge w:val="continue"/>
            <w:vAlign w:val="center"/>
          </w:tcPr>
          <w:p>
            <w:pPr>
              <w:widowControl/>
              <w:adjustRightInd w:val="0"/>
              <w:snapToGrid w:val="0"/>
              <w:ind w:left="423" w:leftChars="200" w:hanging="3"/>
              <w:jc w:val="left"/>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2325"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职称</w:t>
            </w:r>
          </w:p>
        </w:tc>
        <w:tc>
          <w:tcPr>
            <w:tcW w:w="2295" w:type="dxa"/>
            <w:vAlign w:val="center"/>
          </w:tcPr>
          <w:p>
            <w:pPr>
              <w:widowControl/>
              <w:adjustRightInd w:val="0"/>
              <w:snapToGrid w:val="0"/>
              <w:ind w:left="423" w:leftChars="200" w:hanging="3"/>
              <w:jc w:val="center"/>
              <w:rPr>
                <w:rFonts w:ascii="宋体" w:hAnsi="宋体" w:cs="宋体"/>
                <w:sz w:val="24"/>
              </w:rPr>
            </w:pPr>
          </w:p>
          <w:p>
            <w:pPr>
              <w:adjustRightInd w:val="0"/>
              <w:snapToGrid w:val="0"/>
              <w:spacing w:line="460" w:lineRule="exact"/>
              <w:ind w:left="423" w:leftChars="200" w:hanging="3"/>
              <w:jc w:val="center"/>
              <w:rPr>
                <w:rFonts w:ascii="宋体" w:hAnsi="宋体" w:cs="宋体"/>
                <w:sz w:val="24"/>
              </w:rPr>
            </w:pPr>
          </w:p>
        </w:tc>
        <w:tc>
          <w:tcPr>
            <w:tcW w:w="4500" w:type="dxa"/>
            <w:vMerge w:val="continue"/>
            <w:vAlign w:val="center"/>
          </w:tcPr>
          <w:p>
            <w:pPr>
              <w:widowControl/>
              <w:adjustRightInd w:val="0"/>
              <w:snapToGrid w:val="0"/>
              <w:ind w:left="423" w:leftChars="200" w:hanging="3"/>
              <w:jc w:val="left"/>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2325"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毕业学校</w:t>
            </w:r>
          </w:p>
        </w:tc>
        <w:tc>
          <w:tcPr>
            <w:tcW w:w="2295" w:type="dxa"/>
            <w:vAlign w:val="center"/>
          </w:tcPr>
          <w:p>
            <w:pPr>
              <w:adjustRightInd w:val="0"/>
              <w:snapToGrid w:val="0"/>
              <w:spacing w:line="460" w:lineRule="exact"/>
              <w:ind w:left="423" w:leftChars="200" w:hanging="3"/>
              <w:jc w:val="center"/>
              <w:rPr>
                <w:rFonts w:ascii="宋体" w:hAnsi="宋体" w:cs="宋体"/>
                <w:sz w:val="24"/>
              </w:rPr>
            </w:pPr>
          </w:p>
        </w:tc>
        <w:tc>
          <w:tcPr>
            <w:tcW w:w="4500" w:type="dxa"/>
            <w:vMerge w:val="continue"/>
            <w:vAlign w:val="center"/>
          </w:tcPr>
          <w:p>
            <w:pPr>
              <w:widowControl/>
              <w:adjustRightInd w:val="0"/>
              <w:snapToGrid w:val="0"/>
              <w:ind w:left="423" w:leftChars="200" w:hanging="3"/>
              <w:jc w:val="left"/>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2325"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毕业时间</w:t>
            </w:r>
          </w:p>
        </w:tc>
        <w:tc>
          <w:tcPr>
            <w:tcW w:w="2295" w:type="dxa"/>
            <w:vAlign w:val="center"/>
          </w:tcPr>
          <w:p>
            <w:pPr>
              <w:widowControl/>
              <w:adjustRightInd w:val="0"/>
              <w:snapToGrid w:val="0"/>
              <w:ind w:left="423" w:leftChars="200" w:hanging="3"/>
              <w:jc w:val="center"/>
              <w:rPr>
                <w:rFonts w:ascii="宋体" w:hAnsi="宋体" w:cs="宋体"/>
                <w:sz w:val="24"/>
              </w:rPr>
            </w:pPr>
          </w:p>
          <w:p>
            <w:pPr>
              <w:adjustRightInd w:val="0"/>
              <w:snapToGrid w:val="0"/>
              <w:spacing w:line="460" w:lineRule="exact"/>
              <w:ind w:left="423" w:leftChars="200" w:hanging="3"/>
              <w:jc w:val="center"/>
              <w:rPr>
                <w:rFonts w:ascii="宋体" w:hAnsi="宋体" w:cs="宋体"/>
                <w:sz w:val="24"/>
              </w:rPr>
            </w:pPr>
          </w:p>
        </w:tc>
        <w:tc>
          <w:tcPr>
            <w:tcW w:w="4500" w:type="dxa"/>
            <w:vMerge w:val="continue"/>
            <w:vAlign w:val="center"/>
          </w:tcPr>
          <w:p>
            <w:pPr>
              <w:widowControl/>
              <w:adjustRightInd w:val="0"/>
              <w:snapToGrid w:val="0"/>
              <w:ind w:left="423" w:leftChars="200" w:hanging="3"/>
              <w:jc w:val="left"/>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2325"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所学专业</w:t>
            </w:r>
          </w:p>
        </w:tc>
        <w:tc>
          <w:tcPr>
            <w:tcW w:w="2295" w:type="dxa"/>
            <w:vAlign w:val="center"/>
          </w:tcPr>
          <w:p>
            <w:pPr>
              <w:adjustRightInd w:val="0"/>
              <w:snapToGrid w:val="0"/>
              <w:spacing w:line="460" w:lineRule="exact"/>
              <w:ind w:left="423" w:leftChars="200" w:hanging="3"/>
              <w:jc w:val="center"/>
              <w:rPr>
                <w:rFonts w:ascii="宋体" w:hAnsi="宋体" w:cs="宋体"/>
                <w:sz w:val="24"/>
              </w:rPr>
            </w:pPr>
          </w:p>
        </w:tc>
        <w:tc>
          <w:tcPr>
            <w:tcW w:w="4500" w:type="dxa"/>
            <w:vMerge w:val="continue"/>
            <w:vAlign w:val="center"/>
          </w:tcPr>
          <w:p>
            <w:pPr>
              <w:widowControl/>
              <w:adjustRightInd w:val="0"/>
              <w:snapToGrid w:val="0"/>
              <w:ind w:left="423" w:leftChars="200" w:hanging="3"/>
              <w:jc w:val="left"/>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2325"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建造工程师</w:t>
            </w:r>
          </w:p>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证书编号</w:t>
            </w:r>
          </w:p>
        </w:tc>
        <w:tc>
          <w:tcPr>
            <w:tcW w:w="2295" w:type="dxa"/>
            <w:vAlign w:val="center"/>
          </w:tcPr>
          <w:p>
            <w:pPr>
              <w:adjustRightInd w:val="0"/>
              <w:snapToGrid w:val="0"/>
              <w:spacing w:line="460" w:lineRule="exact"/>
              <w:ind w:left="423" w:leftChars="200" w:hanging="3"/>
              <w:jc w:val="center"/>
              <w:rPr>
                <w:rFonts w:ascii="宋体" w:hAnsi="宋体" w:cs="宋体"/>
                <w:sz w:val="24"/>
              </w:rPr>
            </w:pPr>
          </w:p>
        </w:tc>
        <w:tc>
          <w:tcPr>
            <w:tcW w:w="4500" w:type="dxa"/>
            <w:vMerge w:val="continue"/>
            <w:vAlign w:val="center"/>
          </w:tcPr>
          <w:p>
            <w:pPr>
              <w:widowControl/>
              <w:adjustRightInd w:val="0"/>
              <w:snapToGrid w:val="0"/>
              <w:ind w:left="423" w:leftChars="200" w:hanging="3"/>
              <w:jc w:val="left"/>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atLeast"/>
          <w:jc w:val="center"/>
        </w:trPr>
        <w:tc>
          <w:tcPr>
            <w:tcW w:w="2325"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联系电话</w:t>
            </w:r>
          </w:p>
        </w:tc>
        <w:tc>
          <w:tcPr>
            <w:tcW w:w="2295" w:type="dxa"/>
            <w:vAlign w:val="center"/>
          </w:tcPr>
          <w:p>
            <w:pPr>
              <w:adjustRightInd w:val="0"/>
              <w:snapToGrid w:val="0"/>
              <w:spacing w:line="460" w:lineRule="exact"/>
              <w:ind w:left="423" w:leftChars="200" w:hanging="3"/>
              <w:jc w:val="center"/>
              <w:rPr>
                <w:rFonts w:ascii="宋体" w:hAnsi="宋体" w:cs="宋体"/>
                <w:sz w:val="24"/>
              </w:rPr>
            </w:pPr>
          </w:p>
        </w:tc>
        <w:tc>
          <w:tcPr>
            <w:tcW w:w="4500" w:type="dxa"/>
            <w:vMerge w:val="continue"/>
            <w:vAlign w:val="center"/>
          </w:tcPr>
          <w:p>
            <w:pPr>
              <w:widowControl/>
              <w:adjustRightInd w:val="0"/>
              <w:snapToGrid w:val="0"/>
              <w:ind w:left="423" w:leftChars="200" w:hanging="3"/>
              <w:jc w:val="left"/>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23" w:hRule="atLeast"/>
          <w:jc w:val="center"/>
        </w:trPr>
        <w:tc>
          <w:tcPr>
            <w:tcW w:w="2325"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曾担任总监的</w:t>
            </w:r>
          </w:p>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工程项目</w:t>
            </w:r>
          </w:p>
        </w:tc>
        <w:tc>
          <w:tcPr>
            <w:tcW w:w="6795" w:type="dxa"/>
            <w:gridSpan w:val="2"/>
            <w:vAlign w:val="center"/>
          </w:tcPr>
          <w:p>
            <w:pPr>
              <w:widowControl/>
              <w:adjustRightInd w:val="0"/>
              <w:snapToGrid w:val="0"/>
              <w:ind w:left="423" w:leftChars="200" w:hanging="3"/>
              <w:jc w:val="center"/>
              <w:rPr>
                <w:rFonts w:ascii="宋体" w:hAnsi="宋体" w:cs="宋体"/>
                <w:sz w:val="24"/>
              </w:rPr>
            </w:pPr>
          </w:p>
        </w:tc>
      </w:tr>
    </w:tbl>
    <w:p>
      <w:pPr>
        <w:adjustRightInd w:val="0"/>
        <w:snapToGrid w:val="0"/>
        <w:spacing w:line="460" w:lineRule="exact"/>
        <w:ind w:left="423" w:leftChars="200" w:hanging="3"/>
        <w:rPr>
          <w:rFonts w:ascii="宋体" w:hAnsi="宋体" w:cs="宋体"/>
          <w:sz w:val="24"/>
        </w:rPr>
      </w:pPr>
      <w:r>
        <w:rPr>
          <w:rFonts w:hint="eastAsia" w:ascii="宋体" w:hAnsi="宋体" w:cs="宋体"/>
          <w:sz w:val="24"/>
        </w:rPr>
        <w:t>注：本表不够时自制</w:t>
      </w:r>
    </w:p>
    <w:p>
      <w:pPr>
        <w:adjustRightInd w:val="0"/>
        <w:snapToGrid w:val="0"/>
        <w:spacing w:line="460" w:lineRule="exact"/>
        <w:ind w:left="423" w:leftChars="200" w:hanging="3"/>
        <w:rPr>
          <w:rFonts w:ascii="宋体" w:hAnsi="宋体" w:cs="宋体"/>
          <w:sz w:val="24"/>
        </w:rPr>
      </w:pPr>
      <w:r>
        <w:rPr>
          <w:rFonts w:hint="eastAsia" w:ascii="宋体" w:hAnsi="宋体" w:cs="宋体"/>
          <w:sz w:val="24"/>
        </w:rPr>
        <w:t>投标人：（盖公章）</w:t>
      </w:r>
    </w:p>
    <w:p>
      <w:pPr>
        <w:adjustRightInd w:val="0"/>
        <w:snapToGrid w:val="0"/>
        <w:spacing w:line="460" w:lineRule="exact"/>
        <w:ind w:left="423" w:leftChars="200" w:hanging="3"/>
        <w:jc w:val="left"/>
        <w:rPr>
          <w:rFonts w:ascii="宋体" w:hAnsi="宋体" w:cs="宋体"/>
          <w:sz w:val="24"/>
        </w:rPr>
      </w:pPr>
      <w:r>
        <w:rPr>
          <w:rFonts w:hint="eastAsia" w:ascii="宋体" w:hAnsi="宋体" w:cs="宋体"/>
          <w:sz w:val="24"/>
        </w:rPr>
        <w:t>法定代表人或其授权委托代理人：（签字）</w:t>
      </w:r>
    </w:p>
    <w:p>
      <w:pPr>
        <w:adjustRightInd w:val="0"/>
        <w:snapToGrid w:val="0"/>
        <w:spacing w:line="460" w:lineRule="exact"/>
        <w:ind w:left="423" w:leftChars="200" w:hanging="3"/>
        <w:rPr>
          <w:rFonts w:ascii="宋体" w:hAnsi="宋体" w:cs="宋体"/>
          <w:sz w:val="24"/>
        </w:rPr>
      </w:pPr>
      <w:r>
        <w:rPr>
          <w:rFonts w:hint="eastAsia" w:ascii="宋体" w:hAnsi="宋体" w:cs="宋体"/>
          <w:sz w:val="24"/>
        </w:rPr>
        <w:t>年    月    日</w:t>
      </w: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p>
      <w:pPr>
        <w:adjustRightInd w:val="0"/>
        <w:snapToGrid w:val="0"/>
        <w:spacing w:line="520" w:lineRule="exact"/>
        <w:ind w:left="423" w:leftChars="200" w:hanging="3"/>
        <w:outlineLvl w:val="0"/>
        <w:rPr>
          <w:rFonts w:ascii="宋体" w:hAnsi="宋体" w:cs="宋体"/>
          <w:b/>
          <w:sz w:val="32"/>
          <w:szCs w:val="32"/>
        </w:rPr>
      </w:pPr>
      <w:r>
        <w:rPr>
          <w:rFonts w:hint="eastAsia" w:ascii="宋体" w:hAnsi="宋体" w:cs="宋体"/>
          <w:b/>
          <w:sz w:val="32"/>
          <w:szCs w:val="32"/>
        </w:rPr>
        <w:br w:type="page"/>
      </w:r>
      <w:bookmarkStart w:id="451" w:name="_Toc7337"/>
      <w:bookmarkStart w:id="452" w:name="_Toc17585"/>
      <w:bookmarkStart w:id="453" w:name="_Toc9523"/>
      <w:bookmarkStart w:id="454" w:name="_Toc27944"/>
      <w:bookmarkStart w:id="455" w:name="_Toc29210"/>
      <w:r>
        <w:rPr>
          <w:rFonts w:hint="eastAsia" w:ascii="宋体" w:hAnsi="宋体" w:cs="宋体"/>
          <w:b/>
          <w:sz w:val="32"/>
          <w:szCs w:val="32"/>
        </w:rPr>
        <w:t>附件</w:t>
      </w:r>
      <w:bookmarkEnd w:id="451"/>
      <w:bookmarkEnd w:id="452"/>
      <w:bookmarkEnd w:id="453"/>
      <w:bookmarkEnd w:id="454"/>
      <w:bookmarkEnd w:id="455"/>
    </w:p>
    <w:p>
      <w:pPr>
        <w:adjustRightInd w:val="0"/>
        <w:snapToGrid w:val="0"/>
        <w:spacing w:line="520" w:lineRule="exact"/>
        <w:ind w:left="423" w:leftChars="200" w:hanging="3"/>
        <w:rPr>
          <w:rFonts w:ascii="宋体" w:hAnsi="宋体" w:cs="宋体"/>
          <w:b/>
          <w:sz w:val="32"/>
          <w:szCs w:val="32"/>
        </w:rPr>
      </w:pPr>
    </w:p>
    <w:p>
      <w:pPr>
        <w:adjustRightInd w:val="0"/>
        <w:snapToGrid w:val="0"/>
        <w:spacing w:line="460" w:lineRule="exact"/>
        <w:ind w:left="423" w:leftChars="200" w:hanging="3"/>
        <w:jc w:val="center"/>
        <w:rPr>
          <w:rFonts w:ascii="宋体" w:hAnsi="宋体" w:cs="宋体"/>
          <w:b/>
          <w:sz w:val="36"/>
          <w:szCs w:val="32"/>
        </w:rPr>
      </w:pPr>
      <w:r>
        <w:rPr>
          <w:rFonts w:hint="eastAsia" w:ascii="宋体" w:hAnsi="宋体" w:cs="宋体"/>
          <w:b/>
          <w:sz w:val="36"/>
          <w:szCs w:val="32"/>
        </w:rPr>
        <w:t>拟在本项目使用的主要设备一览表</w:t>
      </w:r>
    </w:p>
    <w:tbl>
      <w:tblPr>
        <w:tblStyle w:val="23"/>
        <w:tblW w:w="91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40"/>
        <w:gridCol w:w="2295"/>
        <w:gridCol w:w="1785"/>
        <w:gridCol w:w="2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5" w:hRule="atLeast"/>
        </w:trPr>
        <w:tc>
          <w:tcPr>
            <w:tcW w:w="2640"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仪器或设备名称</w:t>
            </w:r>
          </w:p>
        </w:tc>
        <w:tc>
          <w:tcPr>
            <w:tcW w:w="2295"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型号规格</w:t>
            </w:r>
          </w:p>
        </w:tc>
        <w:tc>
          <w:tcPr>
            <w:tcW w:w="1785"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数量</w:t>
            </w:r>
          </w:p>
        </w:tc>
        <w:tc>
          <w:tcPr>
            <w:tcW w:w="2400" w:type="dxa"/>
            <w:vAlign w:val="center"/>
          </w:tcPr>
          <w:p>
            <w:pPr>
              <w:adjustRightInd w:val="0"/>
              <w:snapToGrid w:val="0"/>
              <w:spacing w:line="460" w:lineRule="exact"/>
              <w:ind w:left="423" w:leftChars="200" w:hanging="3"/>
              <w:jc w:val="center"/>
              <w:rPr>
                <w:rFonts w:ascii="宋体" w:hAnsi="宋体" w:cs="宋体"/>
                <w:sz w:val="24"/>
              </w:rPr>
            </w:pPr>
            <w:r>
              <w:rPr>
                <w:rFonts w:hint="eastAsia" w:ascii="宋体" w:hAnsi="宋体" w:cs="宋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trPr>
        <w:tc>
          <w:tcPr>
            <w:tcW w:w="2640" w:type="dxa"/>
          </w:tcPr>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tc>
        <w:tc>
          <w:tcPr>
            <w:tcW w:w="2295" w:type="dxa"/>
          </w:tcPr>
          <w:p>
            <w:pPr>
              <w:widowControl/>
              <w:adjustRightInd w:val="0"/>
              <w:snapToGrid w:val="0"/>
              <w:ind w:left="423" w:leftChars="200" w:hanging="3"/>
              <w:jc w:val="left"/>
              <w:rPr>
                <w:rFonts w:ascii="宋体" w:hAnsi="宋体" w:cs="宋体"/>
                <w:sz w:val="24"/>
              </w:rPr>
            </w:pPr>
          </w:p>
          <w:p>
            <w:pPr>
              <w:adjustRightInd w:val="0"/>
              <w:snapToGrid w:val="0"/>
              <w:spacing w:line="460" w:lineRule="exact"/>
              <w:ind w:left="423" w:leftChars="200" w:hanging="3"/>
              <w:rPr>
                <w:rFonts w:ascii="宋体" w:hAnsi="宋体" w:cs="宋体"/>
                <w:sz w:val="24"/>
              </w:rPr>
            </w:pPr>
          </w:p>
        </w:tc>
        <w:tc>
          <w:tcPr>
            <w:tcW w:w="1785" w:type="dxa"/>
          </w:tcPr>
          <w:p>
            <w:pPr>
              <w:widowControl/>
              <w:adjustRightInd w:val="0"/>
              <w:snapToGrid w:val="0"/>
              <w:ind w:left="423" w:leftChars="200" w:hanging="3"/>
              <w:jc w:val="left"/>
              <w:rPr>
                <w:rFonts w:ascii="宋体" w:hAnsi="宋体" w:cs="宋体"/>
                <w:sz w:val="24"/>
              </w:rPr>
            </w:pPr>
          </w:p>
          <w:p>
            <w:pPr>
              <w:adjustRightInd w:val="0"/>
              <w:snapToGrid w:val="0"/>
              <w:spacing w:line="460" w:lineRule="exact"/>
              <w:ind w:left="423" w:leftChars="200" w:hanging="3"/>
              <w:rPr>
                <w:rFonts w:ascii="宋体" w:hAnsi="宋体" w:cs="宋体"/>
                <w:sz w:val="24"/>
              </w:rPr>
            </w:pPr>
          </w:p>
        </w:tc>
        <w:tc>
          <w:tcPr>
            <w:tcW w:w="2400" w:type="dxa"/>
          </w:tcPr>
          <w:p>
            <w:pPr>
              <w:widowControl/>
              <w:adjustRightInd w:val="0"/>
              <w:snapToGrid w:val="0"/>
              <w:ind w:left="423" w:leftChars="200" w:hanging="3"/>
              <w:jc w:val="left"/>
              <w:rPr>
                <w:rFonts w:ascii="宋体" w:hAnsi="宋体" w:cs="宋体"/>
                <w:sz w:val="24"/>
              </w:rPr>
            </w:pPr>
          </w:p>
          <w:p>
            <w:pPr>
              <w:adjustRightInd w:val="0"/>
              <w:snapToGrid w:val="0"/>
              <w:spacing w:line="460" w:lineRule="exact"/>
              <w:ind w:left="423" w:leftChars="200" w:hanging="3"/>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5" w:hRule="atLeast"/>
        </w:trPr>
        <w:tc>
          <w:tcPr>
            <w:tcW w:w="2640" w:type="dxa"/>
          </w:tcPr>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tc>
        <w:tc>
          <w:tcPr>
            <w:tcW w:w="2295" w:type="dxa"/>
          </w:tcPr>
          <w:p>
            <w:pPr>
              <w:widowControl/>
              <w:adjustRightInd w:val="0"/>
              <w:snapToGrid w:val="0"/>
              <w:ind w:left="423" w:leftChars="200" w:hanging="3"/>
              <w:jc w:val="left"/>
              <w:rPr>
                <w:rFonts w:ascii="宋体" w:hAnsi="宋体" w:cs="宋体"/>
                <w:sz w:val="24"/>
              </w:rPr>
            </w:pPr>
          </w:p>
          <w:p>
            <w:pPr>
              <w:adjustRightInd w:val="0"/>
              <w:snapToGrid w:val="0"/>
              <w:spacing w:line="460" w:lineRule="exact"/>
              <w:ind w:left="423" w:leftChars="200" w:hanging="3"/>
              <w:rPr>
                <w:rFonts w:ascii="宋体" w:hAnsi="宋体" w:cs="宋体"/>
                <w:sz w:val="24"/>
              </w:rPr>
            </w:pPr>
          </w:p>
        </w:tc>
        <w:tc>
          <w:tcPr>
            <w:tcW w:w="1785" w:type="dxa"/>
          </w:tcPr>
          <w:p>
            <w:pPr>
              <w:widowControl/>
              <w:adjustRightInd w:val="0"/>
              <w:snapToGrid w:val="0"/>
              <w:ind w:left="423" w:leftChars="200" w:hanging="3"/>
              <w:jc w:val="left"/>
              <w:rPr>
                <w:rFonts w:ascii="宋体" w:hAnsi="宋体" w:cs="宋体"/>
                <w:sz w:val="24"/>
              </w:rPr>
            </w:pPr>
          </w:p>
          <w:p>
            <w:pPr>
              <w:adjustRightInd w:val="0"/>
              <w:snapToGrid w:val="0"/>
              <w:spacing w:line="460" w:lineRule="exact"/>
              <w:ind w:left="423" w:leftChars="200" w:hanging="3"/>
              <w:rPr>
                <w:rFonts w:ascii="宋体" w:hAnsi="宋体" w:cs="宋体"/>
                <w:sz w:val="24"/>
              </w:rPr>
            </w:pPr>
          </w:p>
        </w:tc>
        <w:tc>
          <w:tcPr>
            <w:tcW w:w="2400" w:type="dxa"/>
          </w:tcPr>
          <w:p>
            <w:pPr>
              <w:widowControl/>
              <w:adjustRightInd w:val="0"/>
              <w:snapToGrid w:val="0"/>
              <w:ind w:left="423" w:leftChars="200" w:hanging="3"/>
              <w:jc w:val="left"/>
              <w:rPr>
                <w:rFonts w:ascii="宋体" w:hAnsi="宋体" w:cs="宋体"/>
                <w:sz w:val="24"/>
              </w:rPr>
            </w:pPr>
          </w:p>
          <w:p>
            <w:pPr>
              <w:adjustRightInd w:val="0"/>
              <w:snapToGrid w:val="0"/>
              <w:spacing w:line="460" w:lineRule="exact"/>
              <w:ind w:left="423" w:leftChars="200" w:hanging="3"/>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0" w:hRule="atLeast"/>
        </w:trPr>
        <w:tc>
          <w:tcPr>
            <w:tcW w:w="2640" w:type="dxa"/>
          </w:tcPr>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tc>
        <w:tc>
          <w:tcPr>
            <w:tcW w:w="2295" w:type="dxa"/>
          </w:tcPr>
          <w:p>
            <w:pPr>
              <w:widowControl/>
              <w:adjustRightInd w:val="0"/>
              <w:snapToGrid w:val="0"/>
              <w:ind w:left="423" w:leftChars="200" w:hanging="3"/>
              <w:jc w:val="left"/>
              <w:rPr>
                <w:rFonts w:ascii="宋体" w:hAnsi="宋体" w:cs="宋体"/>
                <w:sz w:val="24"/>
              </w:rPr>
            </w:pPr>
          </w:p>
          <w:p>
            <w:pPr>
              <w:adjustRightInd w:val="0"/>
              <w:snapToGrid w:val="0"/>
              <w:spacing w:line="460" w:lineRule="exact"/>
              <w:ind w:left="423" w:leftChars="200" w:hanging="3"/>
              <w:rPr>
                <w:rFonts w:ascii="宋体" w:hAnsi="宋体" w:cs="宋体"/>
                <w:sz w:val="24"/>
              </w:rPr>
            </w:pPr>
          </w:p>
        </w:tc>
        <w:tc>
          <w:tcPr>
            <w:tcW w:w="1785" w:type="dxa"/>
          </w:tcPr>
          <w:p>
            <w:pPr>
              <w:widowControl/>
              <w:adjustRightInd w:val="0"/>
              <w:snapToGrid w:val="0"/>
              <w:ind w:left="423" w:leftChars="200" w:hanging="3"/>
              <w:jc w:val="left"/>
              <w:rPr>
                <w:rFonts w:ascii="宋体" w:hAnsi="宋体" w:cs="宋体"/>
                <w:sz w:val="24"/>
              </w:rPr>
            </w:pPr>
          </w:p>
          <w:p>
            <w:pPr>
              <w:adjustRightInd w:val="0"/>
              <w:snapToGrid w:val="0"/>
              <w:spacing w:line="460" w:lineRule="exact"/>
              <w:ind w:left="423" w:leftChars="200" w:hanging="3"/>
              <w:rPr>
                <w:rFonts w:ascii="宋体" w:hAnsi="宋体" w:cs="宋体"/>
                <w:sz w:val="24"/>
              </w:rPr>
            </w:pPr>
          </w:p>
        </w:tc>
        <w:tc>
          <w:tcPr>
            <w:tcW w:w="2400" w:type="dxa"/>
          </w:tcPr>
          <w:p>
            <w:pPr>
              <w:widowControl/>
              <w:adjustRightInd w:val="0"/>
              <w:snapToGrid w:val="0"/>
              <w:ind w:left="423" w:leftChars="200" w:hanging="3"/>
              <w:jc w:val="left"/>
              <w:rPr>
                <w:rFonts w:ascii="宋体" w:hAnsi="宋体" w:cs="宋体"/>
                <w:sz w:val="24"/>
              </w:rPr>
            </w:pPr>
          </w:p>
          <w:p>
            <w:pPr>
              <w:adjustRightInd w:val="0"/>
              <w:snapToGrid w:val="0"/>
              <w:spacing w:line="460" w:lineRule="exact"/>
              <w:ind w:left="423" w:leftChars="200" w:hanging="3"/>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5" w:hRule="atLeast"/>
        </w:trPr>
        <w:tc>
          <w:tcPr>
            <w:tcW w:w="2640" w:type="dxa"/>
          </w:tcPr>
          <w:p>
            <w:pPr>
              <w:adjustRightInd w:val="0"/>
              <w:snapToGrid w:val="0"/>
              <w:spacing w:line="460" w:lineRule="exact"/>
              <w:ind w:left="423" w:leftChars="200" w:hanging="3"/>
              <w:rPr>
                <w:rFonts w:ascii="宋体" w:hAnsi="宋体" w:cs="宋体"/>
                <w:sz w:val="24"/>
              </w:rPr>
            </w:pPr>
          </w:p>
          <w:p>
            <w:pPr>
              <w:adjustRightInd w:val="0"/>
              <w:snapToGrid w:val="0"/>
              <w:spacing w:line="460" w:lineRule="exact"/>
              <w:ind w:left="423" w:leftChars="200" w:hanging="3"/>
              <w:rPr>
                <w:rFonts w:ascii="宋体" w:hAnsi="宋体" w:cs="宋体"/>
                <w:sz w:val="24"/>
              </w:rPr>
            </w:pPr>
          </w:p>
        </w:tc>
        <w:tc>
          <w:tcPr>
            <w:tcW w:w="2295" w:type="dxa"/>
          </w:tcPr>
          <w:p>
            <w:pPr>
              <w:widowControl/>
              <w:adjustRightInd w:val="0"/>
              <w:snapToGrid w:val="0"/>
              <w:ind w:left="423" w:leftChars="200" w:hanging="3"/>
              <w:jc w:val="left"/>
              <w:rPr>
                <w:rFonts w:ascii="宋体" w:hAnsi="宋体" w:cs="宋体"/>
                <w:sz w:val="24"/>
              </w:rPr>
            </w:pPr>
          </w:p>
          <w:p>
            <w:pPr>
              <w:adjustRightInd w:val="0"/>
              <w:snapToGrid w:val="0"/>
              <w:spacing w:line="460" w:lineRule="exact"/>
              <w:ind w:left="423" w:leftChars="200" w:hanging="3"/>
              <w:rPr>
                <w:rFonts w:ascii="宋体" w:hAnsi="宋体" w:cs="宋体"/>
                <w:sz w:val="24"/>
              </w:rPr>
            </w:pPr>
          </w:p>
        </w:tc>
        <w:tc>
          <w:tcPr>
            <w:tcW w:w="1785" w:type="dxa"/>
          </w:tcPr>
          <w:p>
            <w:pPr>
              <w:widowControl/>
              <w:adjustRightInd w:val="0"/>
              <w:snapToGrid w:val="0"/>
              <w:ind w:left="423" w:leftChars="200" w:hanging="3"/>
              <w:jc w:val="left"/>
              <w:rPr>
                <w:rFonts w:ascii="宋体" w:hAnsi="宋体" w:cs="宋体"/>
                <w:sz w:val="24"/>
              </w:rPr>
            </w:pPr>
          </w:p>
          <w:p>
            <w:pPr>
              <w:adjustRightInd w:val="0"/>
              <w:snapToGrid w:val="0"/>
              <w:spacing w:line="460" w:lineRule="exact"/>
              <w:ind w:left="423" w:leftChars="200" w:hanging="3"/>
              <w:rPr>
                <w:rFonts w:ascii="宋体" w:hAnsi="宋体" w:cs="宋体"/>
                <w:sz w:val="24"/>
              </w:rPr>
            </w:pPr>
          </w:p>
        </w:tc>
        <w:tc>
          <w:tcPr>
            <w:tcW w:w="2400" w:type="dxa"/>
          </w:tcPr>
          <w:p>
            <w:pPr>
              <w:widowControl/>
              <w:adjustRightInd w:val="0"/>
              <w:snapToGrid w:val="0"/>
              <w:ind w:left="423" w:leftChars="200" w:hanging="3"/>
              <w:jc w:val="left"/>
              <w:rPr>
                <w:rFonts w:ascii="宋体" w:hAnsi="宋体" w:cs="宋体"/>
                <w:sz w:val="24"/>
              </w:rPr>
            </w:pPr>
          </w:p>
          <w:p>
            <w:pPr>
              <w:adjustRightInd w:val="0"/>
              <w:snapToGrid w:val="0"/>
              <w:spacing w:line="460" w:lineRule="exact"/>
              <w:ind w:left="423" w:leftChars="200" w:hanging="3"/>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0" w:hRule="atLeast"/>
        </w:trPr>
        <w:tc>
          <w:tcPr>
            <w:tcW w:w="2640" w:type="dxa"/>
          </w:tcPr>
          <w:p>
            <w:pPr>
              <w:adjustRightInd w:val="0"/>
              <w:snapToGrid w:val="0"/>
              <w:spacing w:line="460" w:lineRule="exact"/>
              <w:ind w:left="423" w:leftChars="200" w:hanging="3"/>
              <w:rPr>
                <w:rFonts w:ascii="宋体" w:hAnsi="宋体" w:cs="宋体"/>
                <w:sz w:val="24"/>
              </w:rPr>
            </w:pPr>
          </w:p>
        </w:tc>
        <w:tc>
          <w:tcPr>
            <w:tcW w:w="2295" w:type="dxa"/>
          </w:tcPr>
          <w:p>
            <w:pPr>
              <w:adjustRightInd w:val="0"/>
              <w:snapToGrid w:val="0"/>
              <w:spacing w:line="460" w:lineRule="exact"/>
              <w:ind w:left="423" w:leftChars="200" w:hanging="3"/>
              <w:rPr>
                <w:rFonts w:ascii="宋体" w:hAnsi="宋体" w:cs="宋体"/>
                <w:sz w:val="24"/>
              </w:rPr>
            </w:pPr>
          </w:p>
        </w:tc>
        <w:tc>
          <w:tcPr>
            <w:tcW w:w="1785" w:type="dxa"/>
          </w:tcPr>
          <w:p>
            <w:pPr>
              <w:adjustRightInd w:val="0"/>
              <w:snapToGrid w:val="0"/>
              <w:spacing w:line="460" w:lineRule="exact"/>
              <w:ind w:left="423" w:leftChars="200" w:hanging="3"/>
              <w:rPr>
                <w:rFonts w:ascii="宋体" w:hAnsi="宋体" w:cs="宋体"/>
                <w:sz w:val="24"/>
              </w:rPr>
            </w:pPr>
          </w:p>
        </w:tc>
        <w:tc>
          <w:tcPr>
            <w:tcW w:w="2400" w:type="dxa"/>
          </w:tcPr>
          <w:p>
            <w:pPr>
              <w:adjustRightInd w:val="0"/>
              <w:snapToGrid w:val="0"/>
              <w:spacing w:line="460" w:lineRule="exact"/>
              <w:ind w:left="423" w:leftChars="200" w:hanging="3"/>
              <w:rPr>
                <w:rFonts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0" w:hRule="atLeast"/>
        </w:trPr>
        <w:tc>
          <w:tcPr>
            <w:tcW w:w="2640" w:type="dxa"/>
          </w:tcPr>
          <w:p>
            <w:pPr>
              <w:adjustRightInd w:val="0"/>
              <w:snapToGrid w:val="0"/>
              <w:spacing w:line="460" w:lineRule="exact"/>
              <w:ind w:left="423" w:leftChars="200" w:hanging="3"/>
              <w:rPr>
                <w:rFonts w:ascii="宋体" w:hAnsi="宋体" w:cs="宋体"/>
                <w:sz w:val="24"/>
              </w:rPr>
            </w:pPr>
          </w:p>
        </w:tc>
        <w:tc>
          <w:tcPr>
            <w:tcW w:w="2295" w:type="dxa"/>
          </w:tcPr>
          <w:p>
            <w:pPr>
              <w:adjustRightInd w:val="0"/>
              <w:snapToGrid w:val="0"/>
              <w:spacing w:line="460" w:lineRule="exact"/>
              <w:ind w:left="423" w:leftChars="200" w:hanging="3"/>
              <w:rPr>
                <w:rFonts w:ascii="宋体" w:hAnsi="宋体" w:cs="宋体"/>
                <w:sz w:val="24"/>
              </w:rPr>
            </w:pPr>
          </w:p>
        </w:tc>
        <w:tc>
          <w:tcPr>
            <w:tcW w:w="1785" w:type="dxa"/>
          </w:tcPr>
          <w:p>
            <w:pPr>
              <w:adjustRightInd w:val="0"/>
              <w:snapToGrid w:val="0"/>
              <w:spacing w:line="460" w:lineRule="exact"/>
              <w:ind w:left="423" w:leftChars="200" w:hanging="3"/>
              <w:rPr>
                <w:rFonts w:ascii="宋体" w:hAnsi="宋体" w:cs="宋体"/>
                <w:sz w:val="24"/>
              </w:rPr>
            </w:pPr>
          </w:p>
        </w:tc>
        <w:tc>
          <w:tcPr>
            <w:tcW w:w="2400" w:type="dxa"/>
          </w:tcPr>
          <w:p>
            <w:pPr>
              <w:adjustRightInd w:val="0"/>
              <w:snapToGrid w:val="0"/>
              <w:spacing w:line="460" w:lineRule="exact"/>
              <w:ind w:left="423" w:leftChars="200" w:hanging="3"/>
              <w:rPr>
                <w:rFonts w:ascii="宋体" w:hAnsi="宋体" w:cs="宋体"/>
                <w:sz w:val="24"/>
              </w:rPr>
            </w:pPr>
          </w:p>
        </w:tc>
      </w:tr>
    </w:tbl>
    <w:p>
      <w:pPr>
        <w:adjustRightInd w:val="0"/>
        <w:snapToGrid w:val="0"/>
        <w:spacing w:line="460" w:lineRule="exact"/>
        <w:ind w:left="423" w:leftChars="200" w:hanging="3"/>
        <w:rPr>
          <w:rFonts w:ascii="宋体" w:hAnsi="宋体" w:cs="宋体"/>
          <w:sz w:val="24"/>
        </w:rPr>
      </w:pPr>
      <w:r>
        <w:rPr>
          <w:rFonts w:hint="eastAsia" w:ascii="宋体" w:hAnsi="宋体" w:cs="宋体"/>
          <w:sz w:val="24"/>
        </w:rPr>
        <w:t>投标人：（盖公章）</w:t>
      </w:r>
    </w:p>
    <w:p>
      <w:pPr>
        <w:adjustRightInd w:val="0"/>
        <w:snapToGrid w:val="0"/>
        <w:spacing w:line="460" w:lineRule="exact"/>
        <w:ind w:left="423" w:leftChars="200" w:hanging="3"/>
        <w:jc w:val="left"/>
        <w:rPr>
          <w:rFonts w:ascii="宋体" w:hAnsi="宋体" w:cs="宋体"/>
          <w:sz w:val="24"/>
        </w:rPr>
      </w:pPr>
      <w:r>
        <w:rPr>
          <w:rFonts w:hint="eastAsia" w:ascii="宋体" w:hAnsi="宋体" w:cs="宋体"/>
          <w:sz w:val="24"/>
        </w:rPr>
        <w:t>法定代表人或其授权委托代理人：（签字）</w:t>
      </w:r>
    </w:p>
    <w:p>
      <w:pPr>
        <w:adjustRightInd w:val="0"/>
        <w:snapToGrid w:val="0"/>
        <w:spacing w:line="460" w:lineRule="exact"/>
        <w:ind w:left="423" w:leftChars="200" w:hanging="3"/>
        <w:rPr>
          <w:rFonts w:ascii="宋体" w:hAnsi="宋体" w:cs="宋体"/>
          <w:sz w:val="24"/>
        </w:rPr>
      </w:pPr>
      <w:r>
        <w:rPr>
          <w:rFonts w:hint="eastAsia" w:ascii="宋体" w:hAnsi="宋体" w:cs="宋体"/>
          <w:sz w:val="24"/>
        </w:rPr>
        <w:t>年     月    日</w:t>
      </w:r>
    </w:p>
    <w:p>
      <w:pPr>
        <w:jc w:val="center"/>
        <w:rPr>
          <w:rFonts w:ascii="宋体" w:hAnsi="宋体" w:cs="宋体"/>
          <w:b/>
          <w:bCs/>
          <w:sz w:val="32"/>
          <w:szCs w:val="32"/>
        </w:rPr>
      </w:pPr>
      <w:r>
        <w:rPr>
          <w:rFonts w:hint="eastAsia" w:ascii="宋体" w:hAnsi="宋体" w:cs="宋体"/>
          <w:sz w:val="24"/>
        </w:rPr>
        <w:br w:type="page"/>
      </w:r>
      <w:r>
        <w:rPr>
          <w:rFonts w:hint="eastAsia" w:ascii="宋体" w:hAnsi="宋体" w:cs="宋体"/>
          <w:b/>
          <w:bCs/>
          <w:sz w:val="32"/>
          <w:szCs w:val="32"/>
        </w:rPr>
        <w:t>投标承诺书</w:t>
      </w:r>
    </w:p>
    <w:p>
      <w:pPr>
        <w:ind w:firstLine="964" w:firstLineChars="400"/>
        <w:rPr>
          <w:rFonts w:ascii="宋体" w:hAnsi="宋体" w:cs="宋体"/>
          <w:b/>
          <w:bCs/>
          <w:sz w:val="24"/>
        </w:rPr>
      </w:pPr>
      <w:r>
        <w:rPr>
          <w:rFonts w:hint="eastAsia" w:ascii="宋体" w:hAnsi="宋体" w:cs="宋体"/>
          <w:b/>
          <w:bCs/>
          <w:sz w:val="24"/>
          <w:u w:val="single"/>
        </w:rPr>
        <w:t>（投标单位名称）</w:t>
      </w:r>
      <w:r>
        <w:rPr>
          <w:rFonts w:hint="eastAsia" w:ascii="宋体" w:hAnsi="宋体" w:cs="宋体"/>
          <w:b/>
          <w:bCs/>
          <w:sz w:val="24"/>
        </w:rPr>
        <w:t>作为六安世立医院消防改造工程（外科楼、</w:t>
      </w:r>
    </w:p>
    <w:p>
      <w:pPr>
        <w:rPr>
          <w:rFonts w:ascii="宋体" w:hAnsi="宋体" w:cs="宋体"/>
          <w:b/>
          <w:bCs/>
          <w:sz w:val="24"/>
        </w:rPr>
      </w:pPr>
      <w:r>
        <w:rPr>
          <w:rFonts w:hint="eastAsia" w:ascii="宋体" w:hAnsi="宋体" w:cs="宋体"/>
          <w:b/>
          <w:bCs/>
          <w:sz w:val="24"/>
        </w:rPr>
        <w:t>门诊楼）的消防投标单位，中标后对本项目承诺履行以下职责：</w:t>
      </w:r>
    </w:p>
    <w:p>
      <w:pPr>
        <w:pStyle w:val="2"/>
        <w:numPr>
          <w:ilvl w:val="0"/>
          <w:numId w:val="10"/>
        </w:numPr>
        <w:adjustRightInd w:val="0"/>
        <w:snapToGrid w:val="0"/>
        <w:spacing w:line="360" w:lineRule="exact"/>
        <w:ind w:firstLine="0"/>
        <w:jc w:val="left"/>
        <w:rPr>
          <w:rFonts w:ascii="宋体" w:hAnsi="宋体" w:eastAsia="宋体" w:cs="宋体"/>
          <w:b/>
          <w:bCs/>
          <w:sz w:val="24"/>
          <w:szCs w:val="24"/>
        </w:rPr>
      </w:pPr>
      <w:r>
        <w:rPr>
          <w:rFonts w:hint="eastAsia" w:ascii="宋体" w:hAnsi="宋体" w:eastAsia="宋体" w:cs="宋体"/>
          <w:b/>
          <w:bCs/>
          <w:sz w:val="24"/>
          <w:szCs w:val="24"/>
        </w:rPr>
        <w:t>投标人承诺已经全部了解并审核了六安世立医院消防改造工程的现有全部资料，确认现有资料满足工程所在地政府相关部门规定的项目开工条件及工程验收要求；</w:t>
      </w:r>
    </w:p>
    <w:p>
      <w:pPr>
        <w:pStyle w:val="2"/>
        <w:numPr>
          <w:ilvl w:val="0"/>
          <w:numId w:val="10"/>
        </w:numPr>
        <w:adjustRightInd w:val="0"/>
        <w:snapToGrid w:val="0"/>
        <w:spacing w:line="360" w:lineRule="exact"/>
        <w:ind w:firstLine="0"/>
        <w:jc w:val="left"/>
        <w:rPr>
          <w:rFonts w:ascii="宋体" w:hAnsi="宋体" w:eastAsia="宋体" w:cs="宋体"/>
          <w:b/>
          <w:bCs/>
          <w:sz w:val="24"/>
          <w:szCs w:val="24"/>
        </w:rPr>
      </w:pPr>
      <w:r>
        <w:rPr>
          <w:rFonts w:hint="eastAsia" w:ascii="宋体" w:hAnsi="宋体" w:eastAsia="宋体" w:cs="宋体"/>
          <w:b/>
          <w:bCs/>
          <w:sz w:val="24"/>
          <w:szCs w:val="24"/>
        </w:rPr>
        <w:t>如本投标人中标，我单位承诺将按招标文件要求及合同约定完成六安世立医院消防改造工程，按约定时间完成消防工程的政府验收并取得本项目相关验收证书或文件；</w:t>
      </w:r>
    </w:p>
    <w:p>
      <w:pPr>
        <w:pStyle w:val="2"/>
        <w:numPr>
          <w:ilvl w:val="0"/>
          <w:numId w:val="10"/>
        </w:numPr>
        <w:adjustRightInd w:val="0"/>
        <w:snapToGrid w:val="0"/>
        <w:spacing w:line="360" w:lineRule="exact"/>
        <w:ind w:firstLine="0"/>
        <w:jc w:val="left"/>
        <w:rPr>
          <w:rFonts w:ascii="宋体" w:hAnsi="宋体" w:eastAsia="宋体" w:cs="宋体"/>
          <w:b/>
          <w:bCs/>
          <w:sz w:val="24"/>
          <w:szCs w:val="24"/>
        </w:rPr>
      </w:pPr>
      <w:r>
        <w:rPr>
          <w:rFonts w:hint="eastAsia" w:ascii="宋体" w:hAnsi="宋体" w:eastAsia="宋体" w:cs="宋体"/>
          <w:b/>
          <w:bCs/>
          <w:sz w:val="24"/>
          <w:szCs w:val="24"/>
        </w:rPr>
        <w:t>中标并合同签订后的工程管理：</w:t>
      </w:r>
    </w:p>
    <w:p>
      <w:pPr>
        <w:pStyle w:val="2"/>
        <w:numPr>
          <w:ilvl w:val="0"/>
          <w:numId w:val="0"/>
        </w:numPr>
        <w:adjustRightInd w:val="0"/>
        <w:snapToGrid w:val="0"/>
        <w:spacing w:line="360" w:lineRule="exact"/>
        <w:ind w:firstLine="241" w:firstLineChars="100"/>
        <w:jc w:val="left"/>
        <w:rPr>
          <w:rFonts w:ascii="宋体" w:hAnsi="宋体" w:eastAsia="宋体" w:cs="宋体"/>
          <w:b/>
          <w:bCs/>
          <w:sz w:val="24"/>
          <w:szCs w:val="24"/>
        </w:rPr>
      </w:pPr>
      <w:r>
        <w:rPr>
          <w:rFonts w:hint="eastAsia" w:ascii="宋体" w:hAnsi="宋体" w:eastAsia="宋体" w:cs="宋体"/>
          <w:b/>
          <w:bCs/>
          <w:sz w:val="24"/>
          <w:szCs w:val="24"/>
        </w:rPr>
        <w:t>1、工程设计图纸未经消防主管部门审核合格，不擅自施工；</w:t>
      </w:r>
    </w:p>
    <w:p>
      <w:pPr>
        <w:pStyle w:val="2"/>
        <w:numPr>
          <w:ilvl w:val="0"/>
          <w:numId w:val="0"/>
        </w:numPr>
        <w:adjustRightInd w:val="0"/>
        <w:snapToGrid w:val="0"/>
        <w:spacing w:line="360" w:lineRule="exact"/>
        <w:ind w:firstLine="241" w:firstLineChars="100"/>
        <w:jc w:val="left"/>
        <w:rPr>
          <w:rFonts w:ascii="宋体" w:hAnsi="宋体" w:eastAsia="宋体" w:cs="宋体"/>
          <w:b/>
          <w:bCs/>
          <w:sz w:val="24"/>
          <w:szCs w:val="24"/>
        </w:rPr>
      </w:pPr>
      <w:r>
        <w:rPr>
          <w:rFonts w:hint="eastAsia" w:ascii="宋体" w:hAnsi="宋体" w:eastAsia="宋体" w:cs="宋体"/>
          <w:b/>
          <w:bCs/>
          <w:sz w:val="24"/>
          <w:szCs w:val="24"/>
        </w:rPr>
        <w:t>2、按照国家工程建设消防技术标准和经消防设计审核同意或者备案的消防设计文件组织施工，不得擅自改变消防设计进行施工，降低消防施工质量；</w:t>
      </w:r>
    </w:p>
    <w:p>
      <w:pPr>
        <w:pStyle w:val="2"/>
        <w:numPr>
          <w:ilvl w:val="0"/>
          <w:numId w:val="0"/>
        </w:numPr>
        <w:adjustRightInd w:val="0"/>
        <w:snapToGrid w:val="0"/>
        <w:spacing w:line="360" w:lineRule="exact"/>
        <w:jc w:val="left"/>
        <w:rPr>
          <w:rFonts w:ascii="宋体" w:hAnsi="宋体" w:eastAsia="宋体" w:cs="宋体"/>
          <w:b/>
          <w:bCs/>
          <w:sz w:val="24"/>
          <w:szCs w:val="24"/>
        </w:rPr>
      </w:pPr>
      <w:r>
        <w:rPr>
          <w:rFonts w:hint="eastAsia" w:ascii="宋体" w:hAnsi="宋体" w:eastAsia="宋体" w:cs="宋体"/>
          <w:b/>
          <w:bCs/>
          <w:sz w:val="24"/>
          <w:szCs w:val="24"/>
        </w:rPr>
        <w:t xml:space="preserve">  3、在施工过程中，如发现消防设计图纸存在差错的，及时向建设单位、设计单位、消防主管部门反馈意见；</w:t>
      </w:r>
    </w:p>
    <w:p>
      <w:pPr>
        <w:pStyle w:val="2"/>
        <w:numPr>
          <w:ilvl w:val="0"/>
          <w:numId w:val="0"/>
        </w:numPr>
        <w:adjustRightInd w:val="0"/>
        <w:snapToGrid w:val="0"/>
        <w:spacing w:line="360" w:lineRule="exact"/>
        <w:jc w:val="left"/>
        <w:rPr>
          <w:rFonts w:ascii="宋体" w:hAnsi="宋体" w:eastAsia="宋体" w:cs="宋体"/>
          <w:b/>
          <w:bCs/>
          <w:sz w:val="24"/>
          <w:szCs w:val="24"/>
        </w:rPr>
      </w:pPr>
      <w:r>
        <w:rPr>
          <w:rFonts w:hint="eastAsia" w:ascii="宋体" w:hAnsi="宋体" w:eastAsia="宋体" w:cs="宋体"/>
          <w:b/>
          <w:bCs/>
          <w:sz w:val="24"/>
          <w:szCs w:val="24"/>
        </w:rPr>
        <w:t xml:space="preserve">  4、建立施工质量责任制，建立健全施工质量的检验制度，严格工序管理，作好隐蔽工程质量检查和记录，确保消防工程施工质量；</w:t>
      </w:r>
    </w:p>
    <w:p>
      <w:pPr>
        <w:pStyle w:val="2"/>
        <w:numPr>
          <w:ilvl w:val="0"/>
          <w:numId w:val="0"/>
        </w:numPr>
        <w:adjustRightInd w:val="0"/>
        <w:snapToGrid w:val="0"/>
        <w:spacing w:line="360" w:lineRule="exact"/>
        <w:ind w:firstLine="241" w:firstLineChars="100"/>
        <w:jc w:val="left"/>
        <w:rPr>
          <w:rFonts w:ascii="宋体" w:hAnsi="宋体" w:eastAsia="宋体" w:cs="宋体"/>
          <w:b/>
          <w:bCs/>
          <w:sz w:val="24"/>
          <w:szCs w:val="24"/>
        </w:rPr>
      </w:pPr>
      <w:r>
        <w:rPr>
          <w:rFonts w:hint="eastAsia" w:ascii="宋体" w:hAnsi="宋体" w:eastAsia="宋体" w:cs="宋体"/>
          <w:b/>
          <w:bCs/>
          <w:sz w:val="24"/>
          <w:szCs w:val="24"/>
        </w:rPr>
        <w:t xml:space="preserve"> 5、查验消防产品和有防火性能要求的建筑构件、建筑材料及室内装修装饰材料的质量，使用合格产品，保证消防施工质量；消防产品进入施工现场后，按照规定需要进行见证取样检验和抽样检验的，应当按照规定配合现场取样；</w:t>
      </w:r>
    </w:p>
    <w:p>
      <w:pPr>
        <w:pStyle w:val="2"/>
        <w:numPr>
          <w:ilvl w:val="0"/>
          <w:numId w:val="0"/>
        </w:numPr>
        <w:adjustRightInd w:val="0"/>
        <w:snapToGrid w:val="0"/>
        <w:spacing w:line="360" w:lineRule="exact"/>
        <w:jc w:val="left"/>
        <w:rPr>
          <w:rFonts w:ascii="宋体" w:hAnsi="宋体" w:eastAsia="宋体" w:cs="宋体"/>
          <w:b/>
          <w:bCs/>
          <w:sz w:val="24"/>
          <w:szCs w:val="24"/>
        </w:rPr>
      </w:pPr>
      <w:r>
        <w:rPr>
          <w:rFonts w:hint="eastAsia" w:ascii="宋体" w:hAnsi="宋体" w:eastAsia="宋体" w:cs="宋体"/>
          <w:b/>
          <w:bCs/>
          <w:sz w:val="24"/>
          <w:szCs w:val="24"/>
        </w:rPr>
        <w:t xml:space="preserve">   6、落实施工现场消防安全管理措施，设置符合消防安全要求的可燃、易燃材料堆放、储存场所，严格用火、用电管理，预防火灾发生。</w:t>
      </w:r>
    </w:p>
    <w:p>
      <w:pPr>
        <w:pStyle w:val="2"/>
        <w:numPr>
          <w:ilvl w:val="0"/>
          <w:numId w:val="0"/>
        </w:numPr>
        <w:adjustRightInd w:val="0"/>
        <w:snapToGrid w:val="0"/>
        <w:spacing w:line="360" w:lineRule="exact"/>
        <w:ind w:firstLine="482" w:firstLineChars="200"/>
        <w:jc w:val="left"/>
        <w:rPr>
          <w:rFonts w:ascii="宋体" w:hAnsi="宋体" w:eastAsia="宋体" w:cs="宋体"/>
          <w:b/>
          <w:bCs/>
          <w:sz w:val="24"/>
          <w:szCs w:val="24"/>
        </w:rPr>
      </w:pPr>
      <w:r>
        <w:rPr>
          <w:rFonts w:hint="eastAsia" w:ascii="宋体" w:hAnsi="宋体" w:eastAsia="宋体" w:cs="宋体"/>
          <w:b/>
          <w:bCs/>
          <w:sz w:val="24"/>
          <w:szCs w:val="24"/>
        </w:rPr>
        <w:t>如未能履行以上承诺，我单位自愿接受建设单位关于不退还履约保证金及剩余工程款的有关处罚。造成危害后果的，依据《建设工程消防监督管理规定》第四十一条规定，除依法接受行政处罚或者追究刑事责任外，依法承担民事赔偿责任。</w:t>
      </w:r>
    </w:p>
    <w:p>
      <w:pPr>
        <w:pStyle w:val="2"/>
        <w:numPr>
          <w:ilvl w:val="0"/>
          <w:numId w:val="0"/>
        </w:numPr>
        <w:adjustRightInd w:val="0"/>
        <w:snapToGrid w:val="0"/>
        <w:spacing w:line="360" w:lineRule="exact"/>
        <w:ind w:firstLine="5301" w:firstLineChars="2200"/>
        <w:jc w:val="left"/>
        <w:rPr>
          <w:rFonts w:ascii="宋体" w:hAnsi="宋体" w:eastAsia="宋体" w:cs="宋体"/>
          <w:b/>
          <w:bCs/>
          <w:sz w:val="24"/>
          <w:szCs w:val="24"/>
        </w:rPr>
      </w:pPr>
      <w:r>
        <w:rPr>
          <w:rFonts w:hint="eastAsia" w:ascii="宋体" w:hAnsi="宋体" w:eastAsia="宋体" w:cs="宋体"/>
          <w:b/>
          <w:bCs/>
          <w:sz w:val="24"/>
          <w:szCs w:val="24"/>
        </w:rPr>
        <w:t>承诺单位（盖公章）：</w:t>
      </w:r>
    </w:p>
    <w:p>
      <w:pPr>
        <w:pStyle w:val="2"/>
        <w:numPr>
          <w:ilvl w:val="0"/>
          <w:numId w:val="0"/>
        </w:numPr>
        <w:adjustRightInd w:val="0"/>
        <w:snapToGrid w:val="0"/>
        <w:spacing w:line="360" w:lineRule="exact"/>
        <w:ind w:firstLine="5301" w:firstLineChars="2200"/>
        <w:jc w:val="left"/>
        <w:rPr>
          <w:rFonts w:ascii="宋体" w:hAnsi="宋体" w:eastAsia="宋体" w:cs="宋体"/>
          <w:b/>
          <w:bCs/>
          <w:sz w:val="24"/>
          <w:szCs w:val="24"/>
        </w:rPr>
      </w:pPr>
      <w:r>
        <w:rPr>
          <w:rFonts w:hint="eastAsia" w:ascii="宋体" w:hAnsi="宋体" w:eastAsia="宋体" w:cs="宋体"/>
          <w:b/>
          <w:bCs/>
          <w:sz w:val="24"/>
          <w:szCs w:val="24"/>
        </w:rPr>
        <w:t>法定代表人签字：</w:t>
      </w:r>
    </w:p>
    <w:p>
      <w:pPr>
        <w:adjustRightInd w:val="0"/>
        <w:snapToGrid w:val="0"/>
        <w:spacing w:line="360" w:lineRule="exact"/>
        <w:ind w:firstLine="5520" w:firstLineChars="2300"/>
        <w:jc w:val="left"/>
        <w:rPr>
          <w:rFonts w:hint="eastAsia" w:ascii="宋体" w:hAnsi="宋体" w:cs="宋体"/>
          <w:kern w:val="44"/>
          <w:sz w:val="24"/>
        </w:rPr>
      </w:pPr>
      <w:r>
        <w:rPr>
          <w:rFonts w:hint="eastAsia" w:ascii="宋体" w:hAnsi="宋体" w:cs="宋体"/>
          <w:kern w:val="44"/>
          <w:sz w:val="24"/>
        </w:rPr>
        <w:t>年   月   日</w:t>
      </w:r>
    </w:p>
    <w:p>
      <w:pPr>
        <w:keepNext/>
        <w:ind w:firstLine="2880" w:firstLineChars="800"/>
        <w:rPr>
          <w:rFonts w:hint="eastAsia" w:ascii="宋体" w:hAnsi="宋体" w:cs="宋体"/>
          <w:b/>
          <w:bCs/>
          <w:sz w:val="24"/>
        </w:rPr>
      </w:pPr>
      <w:r>
        <w:rPr>
          <w:rFonts w:hint="eastAsia" w:ascii="宋体" w:hAnsi="宋体" w:cs="宋体-PUA"/>
          <w:sz w:val="36"/>
          <w:szCs w:val="36"/>
        </w:rPr>
        <w:t>投标人承诺</w:t>
      </w:r>
    </w:p>
    <w:p>
      <w:pPr>
        <w:keepNext/>
        <w:rPr>
          <w:rFonts w:ascii="宋体" w:hAnsi="宋体" w:cs="宋体"/>
          <w:b/>
          <w:bCs/>
          <w:sz w:val="24"/>
        </w:rPr>
      </w:pPr>
      <w:r>
        <w:rPr>
          <w:rFonts w:hint="eastAsia" w:ascii="宋体" w:hAnsi="宋体" w:cs="宋体"/>
          <w:b/>
          <w:bCs/>
          <w:sz w:val="24"/>
        </w:rPr>
        <w:t>合同附件：反腐败&amp;反利益冲突条款</w:t>
      </w:r>
    </w:p>
    <w:p>
      <w:pPr>
        <w:keepNext/>
        <w:rPr>
          <w:rFonts w:ascii="宋体" w:hAnsi="宋体" w:cs="宋体"/>
          <w:sz w:val="24"/>
        </w:rPr>
      </w:pPr>
      <w:r>
        <w:rPr>
          <w:rFonts w:hint="eastAsia" w:ascii="宋体" w:hAnsi="宋体" w:cs="宋体"/>
          <w:b/>
          <w:bCs/>
          <w:sz w:val="24"/>
        </w:rPr>
        <w:t>一.反腐败与商业贿赂</w:t>
      </w:r>
    </w:p>
    <w:p>
      <w:pPr>
        <w:keepNext/>
        <w:ind w:firstLine="480" w:firstLineChars="200"/>
        <w:rPr>
          <w:rFonts w:ascii="宋体" w:hAnsi="宋体" w:cs="宋体"/>
          <w:sz w:val="24"/>
        </w:rPr>
      </w:pPr>
      <w:r>
        <w:rPr>
          <w:rFonts w:hint="eastAsia" w:ascii="宋体" w:hAnsi="宋体" w:cs="宋体"/>
          <w:sz w:val="24"/>
        </w:rPr>
        <w:t>乙方知晓并同意，充分遵守美国、中国及各营业所在地的一切适用法律、法规，是甲方及其关联方的书面、既定政策。乙方保证并陈述，其从未并且未来也不会采取任何行动，而违反、或致使甲方被牵连地违反适用于甲方或甲方的关联方的任何法律，包括《中华人民共和国刑法》、《中华人民共和国反不正当竞争法》以及所有其他适用的中华人民共和国的关于反商业贿赂的法律、法规和司法解释、经修订的《1977 年美国海外反腐败法》（简称“FCPA”）、《英国贿赂法》、以及由《经合组织打击贿赂外国官员行为公约》签署国实施的立法、以及其他国家适用的反腐败法（合称“反腐败法律法规”）。</w:t>
      </w:r>
    </w:p>
    <w:p>
      <w:pPr>
        <w:keepNext/>
        <w:rPr>
          <w:rFonts w:ascii="宋体" w:hAnsi="宋体" w:cs="宋体"/>
          <w:sz w:val="24"/>
        </w:rPr>
      </w:pPr>
      <w:r>
        <w:rPr>
          <w:rFonts w:hint="eastAsia" w:ascii="宋体" w:hAnsi="宋体" w:cs="宋体"/>
          <w:sz w:val="24"/>
        </w:rPr>
        <w:t>乙方确认已经收到、阅读并充分理解了《反腐败商业行为准则》、《业务合作伙伴合规准则》及甲方提供的公司政策、指引、通知（“甲方政策”）。乙方同意遵守并要求其员工遵守其中的全部规定。</w:t>
      </w:r>
    </w:p>
    <w:p>
      <w:pPr>
        <w:rPr>
          <w:rFonts w:ascii="宋体" w:hAnsi="宋体" w:cs="宋体"/>
          <w:sz w:val="24"/>
        </w:rPr>
      </w:pPr>
    </w:p>
    <w:p>
      <w:pPr>
        <w:ind w:firstLine="480" w:firstLineChars="200"/>
        <w:rPr>
          <w:rFonts w:ascii="宋体" w:hAnsi="宋体" w:cs="宋体"/>
          <w:sz w:val="24"/>
        </w:rPr>
      </w:pPr>
      <w:r>
        <w:rPr>
          <w:rFonts w:hint="eastAsia" w:ascii="宋体" w:hAnsi="宋体" w:cs="宋体"/>
          <w:sz w:val="24"/>
        </w:rPr>
        <w:t>乙方承诺、陈述、保证并同意，乙方及其员工或关联公司：</w:t>
      </w:r>
    </w:p>
    <w:p>
      <w:pPr>
        <w:rPr>
          <w:rFonts w:ascii="宋体" w:hAnsi="宋体" w:cs="宋体"/>
          <w:sz w:val="24"/>
        </w:rPr>
      </w:pPr>
    </w:p>
    <w:p>
      <w:pPr>
        <w:widowControl/>
        <w:numPr>
          <w:ilvl w:val="0"/>
          <w:numId w:val="11"/>
        </w:numPr>
        <w:ind w:firstLine="440"/>
        <w:contextualSpacing/>
        <w:rPr>
          <w:rFonts w:ascii="宋体" w:hAnsi="宋体" w:cs="宋体"/>
          <w:sz w:val="24"/>
        </w:rPr>
      </w:pPr>
      <w:r>
        <w:rPr>
          <w:rFonts w:hint="eastAsia" w:ascii="宋体" w:hAnsi="宋体" w:cs="宋体"/>
          <w:sz w:val="24"/>
        </w:rPr>
        <w:t>在向甲方提供服务的过程中，与本协议有关的一切活动均在法律允许的范围内进行。乙方应根据一切适用的反腐败法律法规以及本协议附件，包括《反腐败承诺书》、《业务合作伙伴合规准则》等，建立与乙方所开展业务行为相适应的合规管理制度，合规管理制度应包括但不限于反腐败及反贿赂条款、业务活动申请与审批、监控、费用报销、文件存档等内容。如乙方存在违法经营或违反合规管理的要求，甲方有权终止与乙方的合作。</w:t>
      </w:r>
    </w:p>
    <w:p>
      <w:pPr>
        <w:rPr>
          <w:rFonts w:ascii="宋体" w:hAnsi="宋体" w:cs="宋体"/>
          <w:sz w:val="24"/>
        </w:rPr>
      </w:pPr>
      <w:r>
        <w:rPr>
          <w:rFonts w:hint="eastAsia" w:ascii="宋体" w:hAnsi="宋体" w:cs="宋体"/>
          <w:sz w:val="24"/>
        </w:rPr>
        <w:t> </w:t>
      </w:r>
    </w:p>
    <w:p>
      <w:pPr>
        <w:widowControl/>
        <w:numPr>
          <w:ilvl w:val="0"/>
          <w:numId w:val="11"/>
        </w:numPr>
        <w:ind w:firstLine="440"/>
        <w:contextualSpacing/>
        <w:rPr>
          <w:rFonts w:ascii="宋体" w:hAnsi="宋体" w:cs="宋体"/>
          <w:sz w:val="24"/>
        </w:rPr>
      </w:pPr>
      <w:r>
        <w:rPr>
          <w:rFonts w:hint="eastAsia" w:ascii="宋体" w:hAnsi="宋体" w:cs="宋体"/>
          <w:sz w:val="24"/>
        </w:rPr>
        <w:t>乙方不会提供或给予任何个人或单位任何好处以获得不合法的利益。乙方知晓其承诺或给予甲方员工任何好处以取得业务或销售都是违反反腐败法律法规的，并且有可能触犯中国刑法。乙方保证不会违反甲方政策，承诺或给予甲方员工任何好处（如礼物、旅行付费、娱乐招待）。乙方保证不会直接或间接地通过甲方员工（而不是甲方）索取或取得任何与甲方提供的类似的业务或服务。</w:t>
      </w:r>
    </w:p>
    <w:p>
      <w:pPr>
        <w:rPr>
          <w:rFonts w:ascii="宋体" w:hAnsi="宋体" w:cs="宋体"/>
          <w:sz w:val="24"/>
        </w:rPr>
      </w:pPr>
    </w:p>
    <w:p>
      <w:pPr>
        <w:widowControl/>
        <w:numPr>
          <w:ilvl w:val="0"/>
          <w:numId w:val="11"/>
        </w:numPr>
        <w:ind w:firstLine="440"/>
        <w:contextualSpacing/>
        <w:rPr>
          <w:rFonts w:ascii="宋体" w:hAnsi="宋体" w:cs="宋体"/>
          <w:sz w:val="24"/>
        </w:rPr>
      </w:pPr>
      <w:r>
        <w:rPr>
          <w:rFonts w:hint="eastAsia" w:ascii="宋体" w:hAnsi="宋体" w:cs="宋体"/>
          <w:sz w:val="24"/>
        </w:rPr>
        <w:t>如果甲方发现乙方违反甲方政策给予甲方员工任何好处，或直接或间接地通过甲方员工（而不是甲方）索取或取得任何与甲方提供的类似的业务或服务，乙方同意立即终止此类行为，并及时赔偿甲方，以使得甲方免受任何损害。甲方保留起诉乙方及相关甲方员工、移交行政及刑事司法机关、终止与乙方的协议以及将乙方列入行业黑名单的权利。</w:t>
      </w:r>
    </w:p>
    <w:p>
      <w:pPr>
        <w:ind w:left="720"/>
        <w:rPr>
          <w:rFonts w:ascii="宋体" w:hAnsi="宋体" w:cs="宋体"/>
          <w:sz w:val="24"/>
        </w:rPr>
      </w:pPr>
      <w:r>
        <w:rPr>
          <w:rFonts w:hint="eastAsia" w:ascii="宋体" w:hAnsi="宋体" w:cs="宋体"/>
          <w:sz w:val="24"/>
        </w:rPr>
        <w:t> </w:t>
      </w:r>
    </w:p>
    <w:p>
      <w:pPr>
        <w:widowControl/>
        <w:numPr>
          <w:ilvl w:val="0"/>
          <w:numId w:val="11"/>
        </w:numPr>
        <w:ind w:firstLine="440"/>
        <w:contextualSpacing/>
        <w:rPr>
          <w:rFonts w:ascii="宋体" w:hAnsi="宋体" w:cs="宋体"/>
          <w:sz w:val="24"/>
        </w:rPr>
      </w:pPr>
      <w:r>
        <w:rPr>
          <w:rFonts w:hint="eastAsia" w:ascii="宋体" w:hAnsi="宋体" w:cs="宋体"/>
          <w:sz w:val="24"/>
        </w:rPr>
        <w:t>如果乙方是政府机构或者是政府的媒介，或者乙方的任何负责人、股东、管理人员、董事或者代理是现任政府官员</w:t>
      </w:r>
      <w:r>
        <w:rPr>
          <w:rFonts w:hint="eastAsia" w:ascii="宋体" w:hAnsi="宋体" w:cs="宋体"/>
          <w:sz w:val="24"/>
          <w:vertAlign w:val="superscript"/>
        </w:rPr>
        <w:t>1</w:t>
      </w:r>
      <w:r>
        <w:rPr>
          <w:rFonts w:hint="eastAsia" w:ascii="宋体" w:hAnsi="宋体" w:cs="宋体"/>
          <w:sz w:val="24"/>
        </w:rPr>
        <w:t>或与其有密切关系的其他人，或者乙方或其任何负责人、股东、管理人员、董事、或者代理在本合同期间成为一个政府机构或者政府的媒介、政府官员或与其有密切关系的其他人，乙方应当立即通知甲方，使得甲方可以并在此保有权利以采取任何适当的预防措施和行动，保证其可以遵守适用的反腐败法律法规。</w:t>
      </w:r>
    </w:p>
    <w:p>
      <w:pPr>
        <w:ind w:left="720"/>
        <w:rPr>
          <w:rFonts w:ascii="宋体" w:hAnsi="宋体" w:cs="宋体"/>
          <w:sz w:val="24"/>
        </w:rPr>
      </w:pPr>
      <w:r>
        <w:rPr>
          <w:rFonts w:hint="eastAsia" w:ascii="宋体" w:hAnsi="宋体" w:cs="宋体"/>
          <w:sz w:val="24"/>
        </w:rPr>
        <w:t> </w:t>
      </w:r>
    </w:p>
    <w:p>
      <w:pPr>
        <w:widowControl/>
        <w:numPr>
          <w:ilvl w:val="0"/>
          <w:numId w:val="11"/>
        </w:numPr>
        <w:ind w:firstLine="440"/>
        <w:contextualSpacing/>
        <w:rPr>
          <w:rFonts w:ascii="宋体" w:hAnsi="宋体" w:cs="宋体"/>
          <w:sz w:val="24"/>
        </w:rPr>
      </w:pPr>
      <w:r>
        <w:rPr>
          <w:rFonts w:hint="eastAsia" w:ascii="宋体" w:hAnsi="宋体" w:cs="宋体"/>
          <w:sz w:val="24"/>
        </w:rPr>
        <w:t>任何政府官员或与其有密切关系的其他人与乙方没有任何利益关系、或者直接或间接在乙方持有任何利益，也没有在本文件中所涉及的乙方与甲方的任何协议或者关系中，或者在由甲方对乙方所做的支付中，持有任何法律或者经济上的利益。如果任何政府官员或与其有密切关系的其他人持有此类利益，乙方应当立即通知甲方，使得甲方可以并在此保有权利以采取任何适当的预防措施和行动，保证其可以遵守适用的反腐败法。</w:t>
      </w:r>
    </w:p>
    <w:p>
      <w:pPr>
        <w:ind w:left="720"/>
        <w:rPr>
          <w:rFonts w:ascii="宋体" w:hAnsi="宋体" w:cs="宋体"/>
          <w:sz w:val="24"/>
        </w:rPr>
      </w:pPr>
      <w:r>
        <w:rPr>
          <w:rFonts w:hint="eastAsia" w:ascii="宋体" w:hAnsi="宋体" w:cs="宋体"/>
          <w:sz w:val="24"/>
        </w:rPr>
        <w:t> </w:t>
      </w:r>
    </w:p>
    <w:p>
      <w:pPr>
        <w:widowControl/>
        <w:numPr>
          <w:ilvl w:val="0"/>
          <w:numId w:val="11"/>
        </w:numPr>
        <w:ind w:firstLine="440"/>
        <w:contextualSpacing/>
        <w:rPr>
          <w:rFonts w:ascii="宋体" w:hAnsi="宋体" w:cs="宋体"/>
          <w:sz w:val="24"/>
        </w:rPr>
      </w:pPr>
      <w:r>
        <w:rPr>
          <w:rFonts w:hint="eastAsia" w:ascii="宋体" w:hAnsi="宋体" w:cs="宋体"/>
          <w:sz w:val="24"/>
        </w:rPr>
        <w:t>由甲方提供的任何付费仅是为了乙方的利益，不会被转移或转让给任何其他第三方，并且乙方及其其任何负责人、股东、管理人员、董事、或者代理不应当在没有甲方书面同意的情况下代表甲方或在其履行本协议项下的义务时向任何第三方作出支付。</w:t>
      </w:r>
    </w:p>
    <w:p>
      <w:pPr>
        <w:rPr>
          <w:rFonts w:ascii="宋体" w:hAnsi="宋体" w:cs="宋体"/>
          <w:sz w:val="24"/>
        </w:rPr>
      </w:pPr>
    </w:p>
    <w:p>
      <w:pPr>
        <w:widowControl/>
        <w:numPr>
          <w:ilvl w:val="0"/>
          <w:numId w:val="11"/>
        </w:numPr>
        <w:ind w:firstLine="440"/>
        <w:contextualSpacing/>
        <w:rPr>
          <w:rFonts w:ascii="宋体" w:hAnsi="宋体" w:cs="宋体"/>
          <w:sz w:val="24"/>
        </w:rPr>
      </w:pPr>
      <w:r>
        <w:rPr>
          <w:rFonts w:hint="eastAsia" w:ascii="宋体" w:hAnsi="宋体" w:cs="宋体"/>
          <w:sz w:val="24"/>
        </w:rPr>
        <w:t>乙方应确保所有与甲方相关的业务人员，在执行业务活动前，已接受合规培训，对培训记录（包括但不限于培训材料、签到表、视频、录音等）已妥善存档，合规培训内容至少应包括乙方所建立之合规管理制度的全部内容；乙方同意在必要时，甲方检查相关合规培训记录。如乙方对于建立合规管理制度及/或举行合规培训存在困难或疑问，可向甲方提出提供帮助的请求，甲方应予以协助。</w:t>
      </w:r>
    </w:p>
    <w:p>
      <w:pPr>
        <w:rPr>
          <w:rFonts w:ascii="宋体" w:hAnsi="宋体" w:cs="宋体"/>
          <w:sz w:val="24"/>
        </w:rPr>
      </w:pPr>
      <w:r>
        <w:rPr>
          <w:rFonts w:hint="eastAsia" w:ascii="宋体" w:hAnsi="宋体" w:cs="宋体"/>
          <w:sz w:val="24"/>
        </w:rPr>
        <w:t> </w:t>
      </w:r>
    </w:p>
    <w:p>
      <w:pPr>
        <w:widowControl/>
        <w:numPr>
          <w:ilvl w:val="0"/>
          <w:numId w:val="11"/>
        </w:numPr>
        <w:ind w:firstLine="440"/>
        <w:contextualSpacing/>
        <w:rPr>
          <w:rFonts w:ascii="宋体" w:hAnsi="宋体" w:cs="宋体"/>
          <w:sz w:val="24"/>
        </w:rPr>
      </w:pPr>
      <w:r>
        <w:rPr>
          <w:rFonts w:hint="eastAsia" w:ascii="宋体" w:hAnsi="宋体" w:cs="宋体"/>
          <w:sz w:val="24"/>
        </w:rPr>
        <w:t>乙方同意就甲方合理的合规审计或问询提供合作。乙方应保留与所有已提供的服务中产生的已收取费用和授权费用及其它费用有关的准确帐目、原始凭证和记录。在本协议有效期内及协议因任何原因终止之日起的5年内，甲方均有权自行承担费用在正常工作时间对乙方的该等帐目、原始凭证及记录进行审计，审计目的可以是乙方对本协议合规条款的遵守情况、服务的履行情况、乙方提交的发票以及甲方已支付或应支付费用的合理性。</w:t>
      </w:r>
    </w:p>
    <w:p>
      <w:pPr>
        <w:rPr>
          <w:rFonts w:ascii="宋体" w:hAnsi="宋体" w:cs="宋体"/>
          <w:sz w:val="24"/>
        </w:rPr>
      </w:pPr>
      <w:r>
        <w:rPr>
          <w:rFonts w:hint="eastAsia" w:ascii="宋体" w:hAnsi="宋体" w:cs="宋体"/>
          <w:sz w:val="24"/>
        </w:rPr>
        <w:t> </w:t>
      </w:r>
    </w:p>
    <w:p>
      <w:pPr>
        <w:widowControl/>
        <w:numPr>
          <w:ilvl w:val="0"/>
          <w:numId w:val="11"/>
        </w:numPr>
        <w:ind w:firstLine="440"/>
        <w:contextualSpacing/>
        <w:rPr>
          <w:rFonts w:ascii="宋体" w:hAnsi="宋体" w:cs="宋体"/>
          <w:sz w:val="24"/>
        </w:rPr>
      </w:pPr>
      <w:r>
        <w:rPr>
          <w:rFonts w:hint="eastAsia" w:ascii="宋体" w:hAnsi="宋体" w:cs="宋体"/>
          <w:sz w:val="24"/>
        </w:rPr>
        <w:t>乙方同意甲方在需要时，由甲方或甲方聘请的第三方，对乙方进行尽职调查，并承诺在尽职调查中所提交资料完整、真实有效。乙方同意在履行本协议的过程中，如果乙方发现向甲方提供的尽职调查有关的信息（包括但不限于与乙方、乙方关联方或任何个人或其家属相关的信息）出现变更，乙方应将该等变更及时告知甲方。</w:t>
      </w:r>
    </w:p>
    <w:p>
      <w:pPr>
        <w:ind w:left="800"/>
        <w:contextualSpacing/>
        <w:rPr>
          <w:rFonts w:ascii="宋体" w:hAnsi="宋体" w:cs="宋体"/>
          <w:sz w:val="24"/>
        </w:rPr>
      </w:pPr>
    </w:p>
    <w:p>
      <w:pPr>
        <w:widowControl/>
        <w:numPr>
          <w:ilvl w:val="0"/>
          <w:numId w:val="11"/>
        </w:numPr>
        <w:ind w:firstLine="440"/>
        <w:contextualSpacing/>
        <w:rPr>
          <w:rFonts w:ascii="宋体" w:hAnsi="宋体" w:cs="宋体"/>
          <w:sz w:val="24"/>
        </w:rPr>
      </w:pPr>
      <w:r>
        <w:rPr>
          <w:rFonts w:hint="eastAsia" w:ascii="宋体" w:hAnsi="宋体" w:cs="宋体"/>
          <w:sz w:val="24"/>
        </w:rPr>
        <w:t>如果甲方要求，乙方将每[两]年完成并向甲方提交令甲方满意的《第三方年度合规证明》。</w:t>
      </w:r>
    </w:p>
    <w:p>
      <w:pPr>
        <w:ind w:left="800"/>
        <w:contextualSpacing/>
        <w:rPr>
          <w:rFonts w:ascii="宋体" w:hAnsi="宋体" w:cs="宋体"/>
          <w:sz w:val="24"/>
        </w:rPr>
      </w:pPr>
    </w:p>
    <w:p>
      <w:pPr>
        <w:pStyle w:val="42"/>
        <w:numPr>
          <w:ilvl w:val="0"/>
          <w:numId w:val="11"/>
        </w:numPr>
        <w:ind w:right="105" w:rightChars="50" w:firstLine="450"/>
        <w:rPr>
          <w:sz w:val="24"/>
        </w:rPr>
      </w:pPr>
      <w:r>
        <w:rPr>
          <w:rFonts w:hint="eastAsia"/>
          <w:sz w:val="24"/>
        </w:rPr>
        <w:t>乙方不得以违反任何反腐败法律法规的方式使用本协议下任何所得。</w:t>
      </w:r>
    </w:p>
    <w:p>
      <w:pPr>
        <w:pStyle w:val="42"/>
        <w:ind w:left="810" w:right="105" w:rightChars="50"/>
        <w:rPr>
          <w:sz w:val="24"/>
        </w:rPr>
      </w:pPr>
    </w:p>
    <w:p>
      <w:pPr>
        <w:widowControl/>
        <w:numPr>
          <w:ilvl w:val="0"/>
          <w:numId w:val="11"/>
        </w:numPr>
        <w:ind w:firstLine="440"/>
        <w:contextualSpacing/>
        <w:rPr>
          <w:rFonts w:ascii="宋体" w:hAnsi="宋体" w:cs="宋体"/>
          <w:sz w:val="24"/>
        </w:rPr>
      </w:pPr>
      <w:r>
        <w:rPr>
          <w:rFonts w:hint="eastAsia" w:ascii="宋体" w:hAnsi="宋体" w:cs="宋体"/>
          <w:sz w:val="24"/>
        </w:rPr>
        <w:t>对于乙方员工由于违反本协议上述任何要求造成的一切后果，由乙方承担，包括但不限于对由此造成的甲方遭受的任何索赔、责任、罚款、处罚、损失或损害承担连带赔偿责任以使得甲方免受任何损害。</w:t>
      </w:r>
    </w:p>
    <w:p>
      <w:pPr>
        <w:autoSpaceDE w:val="0"/>
        <w:autoSpaceDN w:val="0"/>
        <w:rPr>
          <w:rFonts w:ascii="宋体" w:hAnsi="宋体" w:cs="宋体"/>
          <w:sz w:val="24"/>
        </w:rPr>
      </w:pPr>
      <w:r>
        <w:rPr>
          <w:rFonts w:hint="eastAsia" w:ascii="宋体" w:hAnsi="宋体" w:cs="宋体"/>
          <w:sz w:val="24"/>
        </w:rPr>
        <w:t> </w:t>
      </w:r>
    </w:p>
    <w:p>
      <w:pPr>
        <w:autoSpaceDE w:val="0"/>
        <w:autoSpaceDN w:val="0"/>
        <w:rPr>
          <w:rFonts w:ascii="宋体" w:hAnsi="宋体" w:cs="宋体"/>
          <w:sz w:val="24"/>
        </w:rPr>
      </w:pPr>
      <w:r>
        <w:rPr>
          <w:rFonts w:hint="eastAsia" w:ascii="宋体" w:hAnsi="宋体" w:cs="宋体"/>
          <w:sz w:val="24"/>
          <w:vertAlign w:val="superscript"/>
        </w:rPr>
        <w:t>1</w:t>
      </w:r>
      <w:r>
        <w:rPr>
          <w:rFonts w:hint="eastAsia" w:ascii="宋体" w:hAnsi="宋体" w:cs="宋体"/>
          <w:sz w:val="24"/>
        </w:rPr>
        <w:t>“政府官员”是指（i）任何推选出的或指派的政府官员（例如，政府部门的立法者或成员）；（ii）任何员工或代表政府官员工作的个人、代理商或执行政府职能或归政府所有或受控于政府的企业（例如公立大学雇用的研究人员）；（iii）任何政党官员、公职候选人、职员或者为政党或公职候选人行事或代表他们的员工或个人；（iv）为国际公共组织行事或代表他们的任何员工或个人；（v）王室的任何成员或军队成员以及（vi）按照法律被归类为政府官员的任何个人。</w:t>
      </w:r>
    </w:p>
    <w:p>
      <w:pPr>
        <w:rPr>
          <w:rFonts w:ascii="宋体" w:hAnsi="宋体" w:cs="宋体"/>
          <w:b/>
          <w:sz w:val="24"/>
        </w:rPr>
      </w:pPr>
    </w:p>
    <w:p>
      <w:pPr>
        <w:rPr>
          <w:rFonts w:ascii="宋体" w:hAnsi="宋体" w:cs="宋体"/>
          <w:b/>
          <w:sz w:val="24"/>
        </w:rPr>
      </w:pPr>
      <w:r>
        <w:rPr>
          <w:rFonts w:hint="eastAsia" w:ascii="宋体" w:hAnsi="宋体" w:cs="宋体"/>
          <w:b/>
          <w:sz w:val="24"/>
        </w:rPr>
        <w:t>二.利益冲突</w:t>
      </w:r>
    </w:p>
    <w:p>
      <w:pPr>
        <w:widowControl/>
        <w:numPr>
          <w:ilvl w:val="0"/>
          <w:numId w:val="12"/>
        </w:numPr>
        <w:spacing w:after="160" w:line="252" w:lineRule="auto"/>
        <w:contextualSpacing/>
        <w:jc w:val="left"/>
        <w:rPr>
          <w:rFonts w:ascii="宋体" w:hAnsi="宋体" w:cs="宋体"/>
          <w:sz w:val="24"/>
        </w:rPr>
      </w:pPr>
      <w:r>
        <w:rPr>
          <w:rFonts w:hint="eastAsia" w:ascii="宋体" w:hAnsi="宋体" w:cs="宋体"/>
          <w:sz w:val="24"/>
        </w:rPr>
        <w:t xml:space="preserve">定义：本条款中利益冲突是指，包括但不限于： </w:t>
      </w:r>
    </w:p>
    <w:p>
      <w:pPr>
        <w:widowControl/>
        <w:numPr>
          <w:ilvl w:val="1"/>
          <w:numId w:val="12"/>
        </w:numPr>
        <w:spacing w:after="160" w:line="252" w:lineRule="auto"/>
        <w:contextualSpacing/>
        <w:jc w:val="left"/>
        <w:rPr>
          <w:rFonts w:ascii="宋体" w:hAnsi="宋体" w:cs="宋体"/>
          <w:sz w:val="24"/>
        </w:rPr>
      </w:pPr>
      <w:r>
        <w:rPr>
          <w:rFonts w:hint="eastAsia" w:ascii="宋体" w:hAnsi="宋体" w:cs="宋体"/>
          <w:sz w:val="24"/>
        </w:rPr>
        <w:t>乙方或乙方的股东、董事、管理人员、雇员中的任何人及其家属</w:t>
      </w:r>
      <w:r>
        <w:rPr>
          <w:rFonts w:hint="eastAsia" w:ascii="宋体" w:hAnsi="宋体" w:cs="宋体"/>
          <w:sz w:val="24"/>
          <w:vertAlign w:val="superscript"/>
        </w:rPr>
        <w:t>1</w:t>
      </w:r>
      <w:r>
        <w:rPr>
          <w:rFonts w:hint="eastAsia" w:ascii="宋体" w:hAnsi="宋体" w:cs="宋体"/>
          <w:sz w:val="24"/>
        </w:rPr>
        <w:t>，或者乙方的任一关联方，在甲方、其关联方以及甲方或其关联方的任一竞争者或供应商（以下统称“该等公司”）中存在直接或间接的经济利益，或向该等公司提供任何专业服务，或因管理、经营、或以任何其他方式与该等公司存在任何形式的合同关系以至于使乙方处于与甲方存在利益冲突关系的境地；</w:t>
      </w:r>
    </w:p>
    <w:p>
      <w:pPr>
        <w:widowControl/>
        <w:numPr>
          <w:ilvl w:val="1"/>
          <w:numId w:val="12"/>
        </w:numPr>
        <w:spacing w:after="160" w:line="252" w:lineRule="auto"/>
        <w:contextualSpacing/>
        <w:jc w:val="left"/>
        <w:rPr>
          <w:rFonts w:ascii="宋体" w:hAnsi="宋体" w:cs="宋体"/>
          <w:sz w:val="24"/>
        </w:rPr>
      </w:pPr>
      <w:r>
        <w:rPr>
          <w:rFonts w:hint="eastAsia" w:ascii="宋体" w:hAnsi="宋体" w:cs="宋体"/>
          <w:sz w:val="24"/>
        </w:rPr>
        <w:t>乙方或乙方的股东、董事、管理人员、雇员与甲方董事或甲方员工之间存在财务或其他关系（包括但不限于甲方的股东、董事、管理人员、雇员或其家属（1）投资设立乙方或其关联方，或在乙方或其关联方持有股份，或具有影响乙方运营的影响力，（2）与乙方的股东、董事、管理人员、雇员有家属关系，或（3）在成为甲方的股东、董事或雇员之前的五年内在乙方或其关联方的管理层任职），影响甲方董事或甲方员工履行其以甲方最大利益行事的义务；</w:t>
      </w:r>
    </w:p>
    <w:p>
      <w:pPr>
        <w:widowControl/>
        <w:numPr>
          <w:ilvl w:val="1"/>
          <w:numId w:val="12"/>
        </w:numPr>
        <w:spacing w:after="160" w:line="252" w:lineRule="auto"/>
        <w:contextualSpacing/>
        <w:jc w:val="left"/>
        <w:rPr>
          <w:rFonts w:ascii="宋体" w:hAnsi="宋体" w:cs="宋体"/>
          <w:sz w:val="24"/>
        </w:rPr>
      </w:pPr>
      <w:r>
        <w:rPr>
          <w:rFonts w:hint="eastAsia" w:ascii="宋体" w:hAnsi="宋体" w:cs="宋体"/>
          <w:sz w:val="24"/>
        </w:rPr>
        <w:t>乙方为甲方任何董事或雇员提供雇佣、支付或者其他利益转移；或</w:t>
      </w:r>
    </w:p>
    <w:p>
      <w:pPr>
        <w:widowControl/>
        <w:numPr>
          <w:ilvl w:val="1"/>
          <w:numId w:val="12"/>
        </w:numPr>
        <w:spacing w:after="160" w:line="252" w:lineRule="auto"/>
        <w:contextualSpacing/>
        <w:jc w:val="left"/>
        <w:rPr>
          <w:rFonts w:ascii="宋体" w:hAnsi="宋体" w:cs="宋体"/>
          <w:sz w:val="24"/>
        </w:rPr>
      </w:pPr>
      <w:r>
        <w:rPr>
          <w:rFonts w:hint="eastAsia" w:ascii="宋体" w:hAnsi="宋体" w:cs="宋体"/>
          <w:sz w:val="24"/>
        </w:rPr>
        <w:t>其他任何与乙方履行本协议下的义务及责任存在或可能存在冲突的关系。</w:t>
      </w:r>
    </w:p>
    <w:p>
      <w:pPr>
        <w:widowControl/>
        <w:numPr>
          <w:ilvl w:val="0"/>
          <w:numId w:val="12"/>
        </w:numPr>
        <w:spacing w:after="160" w:line="252" w:lineRule="auto"/>
        <w:contextualSpacing/>
        <w:jc w:val="left"/>
        <w:rPr>
          <w:rFonts w:ascii="宋体" w:hAnsi="宋体" w:cs="宋体"/>
          <w:sz w:val="24"/>
        </w:rPr>
      </w:pPr>
      <w:r>
        <w:rPr>
          <w:rFonts w:hint="eastAsia" w:ascii="宋体" w:hAnsi="宋体" w:cs="宋体"/>
          <w:sz w:val="24"/>
        </w:rPr>
        <w:t xml:space="preserve">乙方陈述、承诺、并保证： </w:t>
      </w:r>
    </w:p>
    <w:p>
      <w:pPr>
        <w:widowControl/>
        <w:numPr>
          <w:ilvl w:val="1"/>
          <w:numId w:val="12"/>
        </w:numPr>
        <w:spacing w:after="160" w:line="252" w:lineRule="auto"/>
        <w:contextualSpacing/>
        <w:jc w:val="left"/>
        <w:rPr>
          <w:rFonts w:ascii="宋体" w:hAnsi="宋体" w:cs="宋体"/>
          <w:sz w:val="24"/>
        </w:rPr>
      </w:pPr>
      <w:r>
        <w:rPr>
          <w:rFonts w:hint="eastAsia" w:ascii="宋体" w:hAnsi="宋体" w:cs="宋体"/>
          <w:sz w:val="24"/>
        </w:rPr>
        <w:t>乙方或乙方的股东、董事、管理人员、雇员中的任何人及其家属不存在上述任何一种利益冲突的情形；</w:t>
      </w:r>
    </w:p>
    <w:p>
      <w:pPr>
        <w:widowControl/>
        <w:numPr>
          <w:ilvl w:val="1"/>
          <w:numId w:val="12"/>
        </w:numPr>
        <w:spacing w:after="160" w:line="252" w:lineRule="auto"/>
        <w:contextualSpacing/>
        <w:jc w:val="left"/>
        <w:rPr>
          <w:rFonts w:ascii="宋体" w:hAnsi="宋体" w:cs="宋体"/>
          <w:sz w:val="24"/>
        </w:rPr>
      </w:pPr>
      <w:r>
        <w:rPr>
          <w:rFonts w:hint="eastAsia" w:ascii="宋体" w:hAnsi="宋体" w:cs="宋体"/>
          <w:sz w:val="24"/>
        </w:rPr>
        <w:t>在任何情况下，乙方皆不得在未得到甲方事先书面同意的情况下从事任何上述行为或卷入任何一种上述关系。</w:t>
      </w:r>
    </w:p>
    <w:p>
      <w:pPr>
        <w:widowControl/>
        <w:numPr>
          <w:ilvl w:val="0"/>
          <w:numId w:val="12"/>
        </w:numPr>
        <w:spacing w:after="160" w:line="252" w:lineRule="auto"/>
        <w:contextualSpacing/>
        <w:jc w:val="left"/>
        <w:rPr>
          <w:rFonts w:ascii="宋体" w:hAnsi="宋体" w:cs="宋体"/>
          <w:sz w:val="24"/>
        </w:rPr>
      </w:pPr>
      <w:r>
        <w:rPr>
          <w:rFonts w:hint="eastAsia" w:ascii="宋体" w:hAnsi="宋体" w:cs="宋体"/>
          <w:sz w:val="24"/>
        </w:rPr>
        <w:t>披露义务：如果在本协议签订之前或之后，乙方得知已经或可能发生任何上述行为，或乙方得知任何一种上述关系的存在，乙方应立即向甲方充分披露并与甲方就该问题进行讨论。</w:t>
      </w:r>
    </w:p>
    <w:p>
      <w:pPr>
        <w:widowControl/>
        <w:numPr>
          <w:ilvl w:val="0"/>
          <w:numId w:val="12"/>
        </w:numPr>
        <w:spacing w:after="160" w:line="252" w:lineRule="auto"/>
        <w:contextualSpacing/>
        <w:jc w:val="left"/>
        <w:rPr>
          <w:rFonts w:ascii="宋体" w:hAnsi="宋体" w:cs="宋体"/>
          <w:sz w:val="24"/>
        </w:rPr>
      </w:pPr>
      <w:r>
        <w:rPr>
          <w:rFonts w:hint="eastAsia" w:ascii="宋体" w:hAnsi="宋体" w:cs="宋体"/>
          <w:sz w:val="24"/>
        </w:rPr>
        <w:t>如甲方发现或知晓存在或可能存在利益冲突的情况，甲方有权采取任何适当的预防措施和行动，包括但不限于终止合约及要求乙方赔偿由此造成的损失。</w:t>
      </w:r>
    </w:p>
    <w:p>
      <w:pPr>
        <w:spacing w:after="160" w:line="252" w:lineRule="auto"/>
        <w:ind w:left="360"/>
        <w:contextualSpacing/>
        <w:rPr>
          <w:rFonts w:ascii="宋体" w:hAnsi="宋体" w:cs="宋体"/>
          <w:sz w:val="24"/>
        </w:rPr>
      </w:pPr>
    </w:p>
    <w:p>
      <w:pPr>
        <w:spacing w:after="160" w:line="252" w:lineRule="auto"/>
        <w:rPr>
          <w:rFonts w:ascii="宋体" w:hAnsi="宋体" w:cs="宋体"/>
          <w:sz w:val="24"/>
        </w:rPr>
      </w:pPr>
      <w:r>
        <w:rPr>
          <w:rFonts w:hint="eastAsia" w:ascii="宋体" w:hAnsi="宋体" w:cs="宋体"/>
          <w:sz w:val="24"/>
          <w:vertAlign w:val="superscript"/>
        </w:rPr>
        <w:t>1</w:t>
      </w:r>
      <w:r>
        <w:rPr>
          <w:rFonts w:hint="eastAsia" w:ascii="宋体" w:hAnsi="宋体" w:cs="宋体"/>
          <w:sz w:val="24"/>
        </w:rPr>
        <w:t xml:space="preserve"> 本条中的 “家属”包括但不限于父母，配偶、兄弟姐妹、祖父母、子女、孙子女、岳父母、同性或异性家庭伴侣。</w:t>
      </w:r>
    </w:p>
    <w:p>
      <w:pPr>
        <w:pStyle w:val="43"/>
      </w:pPr>
    </w:p>
    <w:p>
      <w:pPr>
        <w:keepNext/>
        <w:rPr>
          <w:rFonts w:ascii="宋体" w:hAnsi="宋体" w:cs="宋体"/>
          <w:b/>
          <w:bCs/>
          <w:color w:val="FF0000"/>
          <w:sz w:val="24"/>
        </w:rPr>
      </w:pPr>
      <w:r>
        <w:rPr>
          <w:rFonts w:hint="eastAsia"/>
          <w:b/>
          <w:bCs/>
          <w:color w:val="FF0000"/>
        </w:rPr>
        <w:t>三．</w:t>
      </w:r>
      <w:r>
        <w:rPr>
          <w:rFonts w:hint="eastAsia" w:ascii="宋体" w:hAnsi="宋体" w:cs="宋体"/>
          <w:b/>
          <w:bCs/>
          <w:color w:val="FF0000"/>
          <w:sz w:val="24"/>
        </w:rPr>
        <w:t>该附件为合同不可分割的一部分。（本承诺书每页必须有投标人签章）</w:t>
      </w:r>
    </w:p>
    <w:p>
      <w:pPr>
        <w:pStyle w:val="43"/>
        <w:rPr>
          <w:rFonts w:eastAsia="宋体"/>
          <w:color w:val="FF0000"/>
        </w:rPr>
      </w:pPr>
    </w:p>
    <w:sectPr>
      <w:footerReference r:id="rId6" w:type="first"/>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楷体_GB2312">
    <w:altName w:val="楷体"/>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MS Mincho">
    <w:panose1 w:val="02020609040205080304"/>
    <w:charset w:val="80"/>
    <w:family w:val="roman"/>
    <w:pitch w:val="default"/>
    <w:sig w:usb0="E00002FF" w:usb1="6AC7FDFB" w:usb2="00000012" w:usb3="00000000" w:csb0="4002009F" w:csb1="DFD70000"/>
  </w:font>
  <w:font w:name="宋体-PUA">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Sans Serif">
    <w:altName w:val="Arial"/>
    <w:panose1 w:val="00000000000000000000"/>
    <w:charset w:val="00"/>
    <w:family w:val="swiss"/>
    <w:pitch w:val="default"/>
    <w:sig w:usb0="00000000" w:usb1="00000000" w:usb2="00000000" w:usb3="00000000" w:csb0="00000001" w:csb1="00000000"/>
  </w:font>
  <w:font w:name="Arial Unicode MS">
    <w:altName w:val="Arial"/>
    <w:panose1 w:val="020B0604020202020204"/>
    <w:charset w:val="00"/>
    <w:family w:val="roman"/>
    <w:pitch w:val="default"/>
    <w:sig w:usb0="00000000" w:usb1="00000000" w:usb2="00000000" w:usb3="00000000" w:csb0="00000001" w:csb1="00000000"/>
  </w:font>
  <w:font w:name="华文细黑">
    <w:altName w:val="微软雅黑"/>
    <w:panose1 w:val="02010600040101010101"/>
    <w:charset w:val="86"/>
    <w:family w:val="auto"/>
    <w:pitch w:val="default"/>
    <w:sig w:usb0="00000000" w:usb1="0000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monospace">
    <w:altName w:val="微软雅黑"/>
    <w:panose1 w:val="00000000000000000000"/>
    <w:charset w:val="00"/>
    <w:family w:val="auto"/>
    <w:pitch w:val="default"/>
    <w:sig w:usb0="00000000" w:usb1="00000000" w:usb2="00000000"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Microsoft YaHei UI Light">
    <w:altName w:val="宋体"/>
    <w:panose1 w:val="020B0502040204020203"/>
    <w:charset w:val="86"/>
    <w:family w:val="swiss"/>
    <w:pitch w:val="default"/>
    <w:sig w:usb0="00000000" w:usb1="0000000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framePr w:wrap="around" w:vAnchor="text" w:hAnchor="margin" w:xAlign="center" w:y="1"/>
      <w:rPr>
        <w:rStyle w:val="22"/>
      </w:rPr>
    </w:pPr>
    <w:r>
      <w:rPr>
        <w:rStyle w:val="22"/>
      </w:rPr>
      <w:fldChar w:fldCharType="begin"/>
    </w:r>
    <w:r>
      <w:rPr>
        <w:rStyle w:val="22"/>
      </w:rPr>
      <w:instrText xml:space="preserve">PAGE  </w:instrText>
    </w:r>
    <w:r>
      <w:rPr>
        <w:rStyle w:val="22"/>
      </w:rPr>
      <w:fldChar w:fldCharType="separate"/>
    </w:r>
    <w:r>
      <w:rPr>
        <w:rStyle w:val="22"/>
      </w:rPr>
      <w:t>6</w:t>
    </w:r>
    <w:r>
      <w:rPr>
        <w:rStyle w:val="22"/>
      </w:rPr>
      <w:fldChar w:fldCharType="end"/>
    </w:r>
  </w:p>
  <w:p>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pict>
        <v:rect id="4097" o:spid="_x0000_s2050" o:spt="1" style="position:absolute;left:0pt;margin-top:0pt;height:10.35pt;width:9.05pt;mso-position-horizontal:center;mso-position-horizontal-relative:margin;mso-wrap-style:none;z-index:1024;mso-width-relative:page;mso-height-relative:page;" filled="f" stroked="f" coordsize="21600,21600">
          <v:path/>
          <v:fill on="f" focussize="0,0"/>
          <v:stroke on="f"/>
          <v:imagedata o:title=""/>
          <o:lock v:ext="edit"/>
          <v:textbox inset="0mm,0mm,0mm,0mm" style="mso-fit-shape-to-text:t;">
            <w:txbxContent>
              <w:p>
                <w:pPr>
                  <w:pStyle w:val="15"/>
                  <w:rPr>
                    <w:rFonts w:eastAsia="微软雅黑"/>
                  </w:rPr>
                </w:pPr>
                <w:r>
                  <w:fldChar w:fldCharType="begin"/>
                </w:r>
                <w:r>
                  <w:instrText xml:space="preserve"> PAGE  \* MERGEFORMAT </w:instrText>
                </w:r>
                <w:r>
                  <w:fldChar w:fldCharType="separate"/>
                </w:r>
                <w:r>
                  <w:t>57</w:t>
                </w:r>
                <w:r>
                  <w:fldChar w:fldCharType="end"/>
                </w:r>
              </w:p>
            </w:txbxContent>
          </v:textbox>
        </v:rect>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center"/>
    </w:pPr>
    <w:r>
      <w:pict>
        <v:rect id="4098" o:spid="_x0000_s2049" o:spt="1" style="position:absolute;left:0pt;margin-top:0pt;height:144pt;width:144pt;mso-position-horizontal:center;mso-position-horizontal-relative:margin;mso-wrap-style:none;z-index:1024;mso-width-relative:page;mso-height-relative:page;" filled="f" stroked="f" coordsize="21600,21600">
          <v:path/>
          <v:fill on="f" focussize="0,0"/>
          <v:stroke on="f"/>
          <v:imagedata o:title=""/>
          <o:lock v:ext="edit"/>
          <v:textbox inset="0mm,0mm,0mm,0mm" style="mso-fit-shape-to-text:t;">
            <w:txbxContent>
              <w:p>
                <w:pPr>
                  <w:pStyle w:val="15"/>
                  <w:rPr>
                    <w:rFonts w:eastAsia="微软雅黑"/>
                  </w:rPr>
                </w:pPr>
                <w:r>
                  <w:fldChar w:fldCharType="begin"/>
                </w:r>
                <w:r>
                  <w:instrText xml:space="preserve"> PAGE  \* MERGEFORMAT </w:instrText>
                </w:r>
                <w:r>
                  <w:fldChar w:fldCharType="separate"/>
                </w:r>
                <w:r>
                  <w:t>1</w:t>
                </w:r>
                <w:r>
                  <w:fldChar w:fldCharType="end"/>
                </w:r>
              </w:p>
            </w:txbxContent>
          </v:textbox>
        </v:rect>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lvl w:ilvl="0" w:tentative="0">
      <w:start w:val="1"/>
      <w:numFmt w:val="decimal"/>
      <w:suff w:val="nothing"/>
      <w:lvlText w:val="%1、"/>
      <w:lvlJc w:val="left"/>
      <w:rPr>
        <w:rFonts w:cs="Times New Roman"/>
      </w:rPr>
    </w:lvl>
  </w:abstractNum>
  <w:abstractNum w:abstractNumId="1">
    <w:nsid w:val="00000002"/>
    <w:multiLevelType w:val="singleLevel"/>
    <w:tmpl w:val="00000002"/>
    <w:lvl w:ilvl="0" w:tentative="0">
      <w:start w:val="4"/>
      <w:numFmt w:val="decimal"/>
      <w:suff w:val="nothing"/>
      <w:lvlText w:val="（%1）"/>
      <w:lvlJc w:val="left"/>
      <w:rPr>
        <w:rFonts w:cs="Times New Roman"/>
      </w:rPr>
    </w:lvl>
  </w:abstractNum>
  <w:abstractNum w:abstractNumId="2">
    <w:nsid w:val="00000003"/>
    <w:multiLevelType w:val="singleLevel"/>
    <w:tmpl w:val="00000003"/>
    <w:lvl w:ilvl="0" w:tentative="0">
      <w:start w:val="2"/>
      <w:numFmt w:val="chineseCounting"/>
      <w:suff w:val="space"/>
      <w:lvlText w:val="第%1部分"/>
      <w:lvlJc w:val="left"/>
      <w:rPr>
        <w:rFonts w:hint="eastAsia"/>
      </w:rPr>
    </w:lvl>
  </w:abstractNum>
  <w:abstractNum w:abstractNumId="3">
    <w:nsid w:val="00000004"/>
    <w:multiLevelType w:val="singleLevel"/>
    <w:tmpl w:val="00000004"/>
    <w:lvl w:ilvl="0" w:tentative="0">
      <w:start w:val="1"/>
      <w:numFmt w:val="decimal"/>
      <w:lvlText w:val="%1、"/>
      <w:lvlJc w:val="left"/>
      <w:pPr>
        <w:tabs>
          <w:tab w:val="left" w:pos="645"/>
        </w:tabs>
        <w:ind w:left="645" w:hanging="480"/>
      </w:pPr>
      <w:rPr>
        <w:rFonts w:hint="eastAsia" w:cs="Times New Roman"/>
      </w:rPr>
    </w:lvl>
  </w:abstractNum>
  <w:abstractNum w:abstractNumId="4">
    <w:nsid w:val="00000005"/>
    <w:multiLevelType w:val="singleLevel"/>
    <w:tmpl w:val="00000005"/>
    <w:lvl w:ilvl="0" w:tentative="0">
      <w:start w:val="6"/>
      <w:numFmt w:val="decimal"/>
      <w:suff w:val="nothing"/>
      <w:lvlText w:val="（%1）"/>
      <w:lvlJc w:val="left"/>
    </w:lvl>
  </w:abstractNum>
  <w:abstractNum w:abstractNumId="5">
    <w:nsid w:val="00000006"/>
    <w:multiLevelType w:val="singleLevel"/>
    <w:tmpl w:val="00000006"/>
    <w:lvl w:ilvl="0" w:tentative="0">
      <w:start w:val="1"/>
      <w:numFmt w:val="chineseCounting"/>
      <w:suff w:val="nothing"/>
      <w:lvlText w:val="%1、"/>
      <w:lvlJc w:val="left"/>
      <w:pPr>
        <w:ind w:left="120"/>
      </w:pPr>
      <w:rPr>
        <w:rFonts w:hint="eastAsia" w:cs="Times New Roman"/>
      </w:rPr>
    </w:lvl>
  </w:abstractNum>
  <w:abstractNum w:abstractNumId="6">
    <w:nsid w:val="00000007"/>
    <w:multiLevelType w:val="singleLevel"/>
    <w:tmpl w:val="00000007"/>
    <w:lvl w:ilvl="0" w:tentative="0">
      <w:start w:val="1"/>
      <w:numFmt w:val="chineseCounting"/>
      <w:suff w:val="space"/>
      <w:lvlText w:val="第%1章"/>
      <w:lvlJc w:val="left"/>
      <w:rPr>
        <w:rFonts w:cs="Times New Roman"/>
      </w:rPr>
    </w:lvl>
  </w:abstractNum>
  <w:abstractNum w:abstractNumId="7">
    <w:nsid w:val="00000008"/>
    <w:multiLevelType w:val="singleLevel"/>
    <w:tmpl w:val="00000008"/>
    <w:lvl w:ilvl="0" w:tentative="0">
      <w:start w:val="1"/>
      <w:numFmt w:val="decimal"/>
      <w:lvlText w:val="%1."/>
      <w:lvlJc w:val="left"/>
      <w:pPr>
        <w:tabs>
          <w:tab w:val="left" w:pos="312"/>
        </w:tabs>
      </w:pPr>
    </w:lvl>
  </w:abstractNum>
  <w:abstractNum w:abstractNumId="8">
    <w:nsid w:val="00000009"/>
    <w:multiLevelType w:val="multilevel"/>
    <w:tmpl w:val="00000009"/>
    <w:lvl w:ilvl="0" w:tentative="0">
      <w:start w:val="1"/>
      <w:numFmt w:val="decimal"/>
      <w:pStyle w:val="2"/>
      <w:lvlText w:val="%1"/>
      <w:lvlJc w:val="left"/>
      <w:pPr>
        <w:tabs>
          <w:tab w:val="left" w:pos="3665"/>
        </w:tabs>
        <w:ind w:left="3665" w:hanging="425"/>
      </w:pPr>
      <w:rPr>
        <w:rFonts w:cs="Times New Roman"/>
      </w:rPr>
    </w:lvl>
    <w:lvl w:ilvl="1" w:tentative="0">
      <w:start w:val="1"/>
      <w:numFmt w:val="decimal"/>
      <w:lvlText w:val="%1.%2"/>
      <w:lvlJc w:val="left"/>
      <w:pPr>
        <w:tabs>
          <w:tab w:val="left" w:pos="992"/>
        </w:tabs>
        <w:ind w:left="992" w:hanging="567"/>
      </w:pPr>
      <w:rPr>
        <w:rFonts w:cs="Times New Roman"/>
      </w:rPr>
    </w:lvl>
    <w:lvl w:ilvl="2" w:tentative="0">
      <w:start w:val="1"/>
      <w:numFmt w:val="decimal"/>
      <w:lvlText w:val="%1.%2.%3"/>
      <w:lvlJc w:val="left"/>
      <w:pPr>
        <w:tabs>
          <w:tab w:val="left" w:pos="1418"/>
        </w:tabs>
        <w:ind w:left="1418" w:hanging="567"/>
      </w:pPr>
      <w:rPr>
        <w:rFonts w:cs="Times New Roman"/>
      </w:rPr>
    </w:lvl>
    <w:lvl w:ilvl="3" w:tentative="0">
      <w:start w:val="1"/>
      <w:numFmt w:val="decimal"/>
      <w:lvlText w:val="%1.%2.%3.%4"/>
      <w:lvlJc w:val="left"/>
      <w:pPr>
        <w:tabs>
          <w:tab w:val="left" w:pos="2356"/>
        </w:tabs>
        <w:ind w:left="1984" w:hanging="708"/>
      </w:pPr>
      <w:rPr>
        <w:rFonts w:cs="Times New Roman"/>
      </w:rPr>
    </w:lvl>
    <w:lvl w:ilvl="4" w:tentative="0">
      <w:start w:val="1"/>
      <w:numFmt w:val="decimal"/>
      <w:lvlText w:val="%1.%2.%3.%4.%5"/>
      <w:lvlJc w:val="left"/>
      <w:pPr>
        <w:tabs>
          <w:tab w:val="left" w:pos="2781"/>
        </w:tabs>
        <w:ind w:left="2551" w:hanging="850"/>
      </w:pPr>
      <w:rPr>
        <w:rFonts w:cs="Times New Roman"/>
      </w:rPr>
    </w:lvl>
    <w:lvl w:ilvl="5" w:tentative="0">
      <w:start w:val="1"/>
      <w:numFmt w:val="decimal"/>
      <w:lvlText w:val="%1.%2.%3.%4.%5.%6"/>
      <w:lvlJc w:val="left"/>
      <w:pPr>
        <w:tabs>
          <w:tab w:val="left" w:pos="3566"/>
        </w:tabs>
        <w:ind w:left="3260" w:hanging="1134"/>
      </w:pPr>
      <w:rPr>
        <w:rFonts w:cs="Times New Roman"/>
      </w:rPr>
    </w:lvl>
    <w:lvl w:ilvl="6" w:tentative="0">
      <w:start w:val="1"/>
      <w:numFmt w:val="decimal"/>
      <w:lvlText w:val="%1.%2.%3.%4.%5.%6.%7"/>
      <w:lvlJc w:val="left"/>
      <w:pPr>
        <w:tabs>
          <w:tab w:val="left" w:pos="3991"/>
        </w:tabs>
        <w:ind w:left="3827" w:hanging="1276"/>
      </w:pPr>
      <w:rPr>
        <w:rFonts w:cs="Times New Roman"/>
      </w:rPr>
    </w:lvl>
    <w:lvl w:ilvl="7" w:tentative="0">
      <w:start w:val="1"/>
      <w:numFmt w:val="decimal"/>
      <w:lvlText w:val="%1.%2.%3.%4.%5.%6.%7.%8"/>
      <w:lvlJc w:val="left"/>
      <w:pPr>
        <w:tabs>
          <w:tab w:val="left" w:pos="4776"/>
        </w:tabs>
        <w:ind w:left="4394" w:hanging="1418"/>
      </w:pPr>
      <w:rPr>
        <w:rFonts w:cs="Times New Roman"/>
      </w:rPr>
    </w:lvl>
    <w:lvl w:ilvl="8" w:tentative="0">
      <w:start w:val="1"/>
      <w:numFmt w:val="decimal"/>
      <w:lvlText w:val="%1.%2.%3.%4.%5.%6.%7.%8.%9"/>
      <w:lvlJc w:val="left"/>
      <w:pPr>
        <w:tabs>
          <w:tab w:val="left" w:pos="5562"/>
        </w:tabs>
        <w:ind w:left="5102" w:hanging="1700"/>
      </w:pPr>
      <w:rPr>
        <w:rFonts w:cs="Times New Roman"/>
      </w:rPr>
    </w:lvl>
  </w:abstractNum>
  <w:abstractNum w:abstractNumId="9">
    <w:nsid w:val="0BC81955"/>
    <w:multiLevelType w:val="multilevel"/>
    <w:tmpl w:val="0BC81955"/>
    <w:lvl w:ilvl="0" w:tentative="0">
      <w:start w:val="1"/>
      <w:numFmt w:val="decimal"/>
      <w:lvlText w:val="%1."/>
      <w:lvlJc w:val="left"/>
      <w:pPr>
        <w:ind w:left="720" w:hanging="360"/>
      </w:pPr>
      <w:rPr>
        <w:rFonts w:ascii="Times New Roman" w:hAnsi="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14971817"/>
    <w:multiLevelType w:val="singleLevel"/>
    <w:tmpl w:val="14971817"/>
    <w:lvl w:ilvl="0" w:tentative="0">
      <w:start w:val="1"/>
      <w:numFmt w:val="chineseCounting"/>
      <w:suff w:val="nothing"/>
      <w:lvlText w:val="（%1）"/>
      <w:lvlJc w:val="left"/>
      <w:rPr>
        <w:rFonts w:hint="eastAsia" w:cs="Times New Roman"/>
      </w:rPr>
    </w:lvl>
  </w:abstractNum>
  <w:abstractNum w:abstractNumId="11">
    <w:nsid w:val="77DA336A"/>
    <w:multiLevelType w:val="multilevel"/>
    <w:tmpl w:val="77DA336A"/>
    <w:lvl w:ilvl="0" w:tentative="0">
      <w:start w:val="1"/>
      <w:numFmt w:val="decimal"/>
      <w:lvlText w:val="%1、"/>
      <w:lvlJc w:val="left"/>
      <w:pPr>
        <w:ind w:left="360" w:hanging="360"/>
      </w:pPr>
      <w:rPr>
        <w:rFonts w:ascii="Times New Roman" w:hAnsi="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6"/>
  </w:num>
  <w:num w:numId="3">
    <w:abstractNumId w:val="0"/>
  </w:num>
  <w:num w:numId="4">
    <w:abstractNumId w:val="7"/>
  </w:num>
  <w:num w:numId="5">
    <w:abstractNumId w:val="3"/>
    <w:lvlOverride w:ilvl="0">
      <w:startOverride w:val="1"/>
    </w:lvlOverride>
  </w:num>
  <w:num w:numId="6">
    <w:abstractNumId w:val="10"/>
  </w:num>
  <w:num w:numId="7">
    <w:abstractNumId w:val="2"/>
  </w:num>
  <w:num w:numId="8">
    <w:abstractNumId w:val="4"/>
  </w:num>
  <w:num w:numId="9">
    <w:abstractNumId w:val="1"/>
  </w:num>
  <w:num w:numId="10">
    <w:abstractNumId w:val="5"/>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771AE0"/>
    <w:rsid w:val="000444DE"/>
    <w:rsid w:val="000C722A"/>
    <w:rsid w:val="002D0225"/>
    <w:rsid w:val="006B7225"/>
    <w:rsid w:val="00771AE0"/>
    <w:rsid w:val="00862998"/>
    <w:rsid w:val="00A05CC3"/>
    <w:rsid w:val="00F4781B"/>
    <w:rsid w:val="06A73519"/>
    <w:rsid w:val="0B5E5A0E"/>
    <w:rsid w:val="0C704596"/>
    <w:rsid w:val="1DCB1681"/>
    <w:rsid w:val="206E05E3"/>
    <w:rsid w:val="23466254"/>
    <w:rsid w:val="33727AF6"/>
    <w:rsid w:val="406B4FCB"/>
    <w:rsid w:val="4C160240"/>
    <w:rsid w:val="4DD35732"/>
    <w:rsid w:val="53DD34CF"/>
    <w:rsid w:val="5DB66583"/>
    <w:rsid w:val="6D59680E"/>
    <w:rsid w:val="78811A9D"/>
    <w:rsid w:val="7A9611A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9" w:name="heading 5"/>
    <w:lsdException w:qFormat="1" w:unhideWhenUsed="0" w:uiPriority="9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9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qFormat="1" w:unhideWhenUsed="0" w:uiPriority="99" w:semiHidden="0"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4"/>
    <w:qFormat/>
    <w:uiPriority w:val="99"/>
    <w:pPr>
      <w:keepNext/>
      <w:keepLines/>
      <w:numPr>
        <w:ilvl w:val="0"/>
        <w:numId w:val="1"/>
      </w:numPr>
      <w:spacing w:before="240" w:after="240" w:line="480" w:lineRule="exact"/>
      <w:jc w:val="center"/>
      <w:outlineLvl w:val="0"/>
    </w:pPr>
    <w:rPr>
      <w:rFonts w:ascii="黑体" w:eastAsia="黑体"/>
      <w:kern w:val="44"/>
      <w:sz w:val="36"/>
      <w:szCs w:val="20"/>
    </w:rPr>
  </w:style>
  <w:style w:type="paragraph" w:styleId="3">
    <w:name w:val="heading 2"/>
    <w:basedOn w:val="1"/>
    <w:next w:val="1"/>
    <w:link w:val="25"/>
    <w:qFormat/>
    <w:uiPriority w:val="99"/>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6"/>
    <w:qFormat/>
    <w:uiPriority w:val="99"/>
    <w:pPr>
      <w:keepNext/>
      <w:keepLines/>
      <w:outlineLvl w:val="2"/>
    </w:pPr>
    <w:rPr>
      <w:rFonts w:eastAsia="楷体_GB2312"/>
      <w:b/>
      <w:bCs/>
      <w:sz w:val="32"/>
      <w:szCs w:val="32"/>
    </w:rPr>
  </w:style>
  <w:style w:type="paragraph" w:styleId="5">
    <w:name w:val="heading 4"/>
    <w:basedOn w:val="1"/>
    <w:next w:val="1"/>
    <w:link w:val="27"/>
    <w:qFormat/>
    <w:uiPriority w:val="99"/>
    <w:pPr>
      <w:keepNext/>
      <w:keepLines/>
      <w:spacing w:line="372" w:lineRule="auto"/>
      <w:outlineLvl w:val="3"/>
    </w:pPr>
    <w:rPr>
      <w:rFonts w:ascii="Cambria" w:hAnsi="Cambria"/>
      <w:b/>
      <w:bCs/>
      <w:sz w:val="28"/>
      <w:szCs w:val="28"/>
    </w:rPr>
  </w:style>
  <w:style w:type="paragraph" w:styleId="6">
    <w:name w:val="heading 6"/>
    <w:basedOn w:val="1"/>
    <w:next w:val="1"/>
    <w:link w:val="28"/>
    <w:qFormat/>
    <w:uiPriority w:val="99"/>
    <w:pPr>
      <w:ind w:left="667"/>
      <w:outlineLvl w:val="5"/>
    </w:pPr>
    <w:rPr>
      <w:rFonts w:ascii="宋体" w:hAnsi="宋体" w:cs="宋体"/>
      <w:b/>
      <w:bCs/>
      <w:szCs w:val="21"/>
      <w:lang w:val="zh-CN"/>
    </w:rPr>
  </w:style>
  <w:style w:type="character" w:default="1" w:styleId="20">
    <w:name w:val="Default Paragraph Font"/>
    <w:semiHidden/>
    <w:unhideWhenUsed/>
    <w:qFormat/>
    <w:uiPriority w:val="1"/>
  </w:style>
  <w:style w:type="table" w:default="1" w:styleId="23">
    <w:name w:val="Normal Table"/>
    <w:semiHidden/>
    <w:unhideWhenUsed/>
    <w:qFormat/>
    <w:uiPriority w:val="99"/>
    <w:tblPr>
      <w:tblLayout w:type="fixed"/>
      <w:tblCellMar>
        <w:top w:w="0" w:type="dxa"/>
        <w:left w:w="108" w:type="dxa"/>
        <w:bottom w:w="0" w:type="dxa"/>
        <w:right w:w="108" w:type="dxa"/>
      </w:tblCellMar>
    </w:tblPr>
  </w:style>
  <w:style w:type="paragraph" w:styleId="7">
    <w:name w:val="Normal Indent"/>
    <w:basedOn w:val="1"/>
    <w:qFormat/>
    <w:uiPriority w:val="99"/>
    <w:rPr>
      <w:sz w:val="24"/>
      <w:szCs w:val="20"/>
    </w:rPr>
  </w:style>
  <w:style w:type="paragraph" w:styleId="8">
    <w:name w:val="Salutation"/>
    <w:basedOn w:val="1"/>
    <w:next w:val="1"/>
    <w:link w:val="29"/>
    <w:qFormat/>
    <w:uiPriority w:val="99"/>
    <w:rPr>
      <w:sz w:val="28"/>
      <w:szCs w:val="20"/>
    </w:rPr>
  </w:style>
  <w:style w:type="paragraph" w:styleId="9">
    <w:name w:val="Body Text"/>
    <w:basedOn w:val="1"/>
    <w:link w:val="30"/>
    <w:qFormat/>
    <w:uiPriority w:val="99"/>
    <w:rPr>
      <w:rFonts w:ascii="宋体" w:hAnsi="宋体" w:cs="宋体"/>
      <w:szCs w:val="21"/>
      <w:lang w:val="zh-CN"/>
    </w:rPr>
  </w:style>
  <w:style w:type="paragraph" w:styleId="10">
    <w:name w:val="Body Text Indent"/>
    <w:basedOn w:val="1"/>
    <w:link w:val="31"/>
    <w:qFormat/>
    <w:uiPriority w:val="99"/>
    <w:pPr>
      <w:ind w:left="1395"/>
    </w:pPr>
    <w:rPr>
      <w:sz w:val="28"/>
      <w:szCs w:val="20"/>
    </w:rPr>
  </w:style>
  <w:style w:type="paragraph" w:styleId="11">
    <w:name w:val="List Continue"/>
    <w:basedOn w:val="1"/>
    <w:qFormat/>
    <w:uiPriority w:val="99"/>
    <w:pPr>
      <w:ind w:left="420" w:leftChars="200"/>
    </w:pPr>
  </w:style>
  <w:style w:type="paragraph" w:styleId="12">
    <w:name w:val="Plain Text"/>
    <w:basedOn w:val="1"/>
    <w:link w:val="32"/>
    <w:qFormat/>
    <w:uiPriority w:val="99"/>
    <w:pPr>
      <w:tabs>
        <w:tab w:val="left" w:pos="5890"/>
        <w:tab w:val="left" w:leader="middleDot" w:pos="8108"/>
      </w:tabs>
      <w:spacing w:line="223" w:lineRule="auto"/>
      <w:ind w:firstLine="380"/>
    </w:pPr>
    <w:rPr>
      <w:rFonts w:ascii="宋体" w:hAnsi="Courier New"/>
      <w:color w:val="000000"/>
      <w:kern w:val="0"/>
      <w:szCs w:val="20"/>
    </w:rPr>
  </w:style>
  <w:style w:type="paragraph" w:styleId="13">
    <w:name w:val="Date"/>
    <w:basedOn w:val="1"/>
    <w:next w:val="1"/>
    <w:link w:val="33"/>
    <w:qFormat/>
    <w:uiPriority w:val="99"/>
    <w:rPr>
      <w:rFonts w:ascii="宋体"/>
      <w:sz w:val="24"/>
      <w:szCs w:val="20"/>
    </w:rPr>
  </w:style>
  <w:style w:type="paragraph" w:styleId="14">
    <w:name w:val="Balloon Text"/>
    <w:basedOn w:val="1"/>
    <w:link w:val="34"/>
    <w:qFormat/>
    <w:uiPriority w:val="99"/>
    <w:rPr>
      <w:sz w:val="18"/>
      <w:szCs w:val="18"/>
    </w:rPr>
  </w:style>
  <w:style w:type="paragraph" w:styleId="15">
    <w:name w:val="footer"/>
    <w:basedOn w:val="1"/>
    <w:link w:val="35"/>
    <w:qFormat/>
    <w:uiPriority w:val="99"/>
    <w:pPr>
      <w:tabs>
        <w:tab w:val="center" w:pos="4153"/>
        <w:tab w:val="right" w:pos="8306"/>
      </w:tabs>
      <w:snapToGrid w:val="0"/>
      <w:jc w:val="left"/>
    </w:pPr>
    <w:rPr>
      <w:sz w:val="18"/>
      <w:szCs w:val="18"/>
    </w:rPr>
  </w:style>
  <w:style w:type="paragraph" w:styleId="16">
    <w:name w:val="header"/>
    <w:basedOn w:val="1"/>
    <w:link w:val="36"/>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99"/>
  </w:style>
  <w:style w:type="paragraph" w:styleId="18">
    <w:name w:val="toc 2"/>
    <w:basedOn w:val="1"/>
    <w:next w:val="1"/>
    <w:qFormat/>
    <w:uiPriority w:val="99"/>
    <w:pPr>
      <w:ind w:left="420" w:leftChars="200"/>
    </w:pPr>
  </w:style>
  <w:style w:type="paragraph" w:styleId="19">
    <w:name w:val="Normal (Web)"/>
    <w:basedOn w:val="1"/>
    <w:qFormat/>
    <w:uiPriority w:val="99"/>
    <w:pPr>
      <w:widowControl/>
      <w:spacing w:before="240" w:after="240"/>
      <w:jc w:val="left"/>
    </w:pPr>
    <w:rPr>
      <w:rFonts w:ascii="宋体" w:hAnsi="宋体" w:cs="宋体"/>
      <w:kern w:val="0"/>
      <w:sz w:val="24"/>
    </w:rPr>
  </w:style>
  <w:style w:type="character" w:styleId="21">
    <w:name w:val="Strong"/>
    <w:basedOn w:val="20"/>
    <w:qFormat/>
    <w:uiPriority w:val="99"/>
    <w:rPr>
      <w:rFonts w:cs="Times New Roman"/>
      <w:b/>
    </w:rPr>
  </w:style>
  <w:style w:type="character" w:styleId="22">
    <w:name w:val="page number"/>
    <w:basedOn w:val="20"/>
    <w:qFormat/>
    <w:uiPriority w:val="99"/>
    <w:rPr>
      <w:rFonts w:cs="Times New Roman"/>
    </w:rPr>
  </w:style>
  <w:style w:type="character" w:customStyle="1" w:styleId="24">
    <w:name w:val="标题 1 Char"/>
    <w:basedOn w:val="20"/>
    <w:link w:val="2"/>
    <w:qFormat/>
    <w:uiPriority w:val="9"/>
    <w:rPr>
      <w:b/>
      <w:bCs/>
      <w:kern w:val="44"/>
      <w:sz w:val="44"/>
      <w:szCs w:val="44"/>
    </w:rPr>
  </w:style>
  <w:style w:type="character" w:customStyle="1" w:styleId="25">
    <w:name w:val="标题 2 Char"/>
    <w:basedOn w:val="20"/>
    <w:link w:val="3"/>
    <w:qFormat/>
    <w:uiPriority w:val="9"/>
    <w:rPr>
      <w:rFonts w:ascii="Cambria" w:hAnsi="Cambria" w:eastAsia="宋体" w:cs="宋体"/>
      <w:b/>
      <w:bCs/>
      <w:sz w:val="32"/>
      <w:szCs w:val="32"/>
    </w:rPr>
  </w:style>
  <w:style w:type="character" w:customStyle="1" w:styleId="26">
    <w:name w:val="标题 3 Char"/>
    <w:basedOn w:val="20"/>
    <w:link w:val="4"/>
    <w:qFormat/>
    <w:uiPriority w:val="9"/>
    <w:rPr>
      <w:b/>
      <w:bCs/>
      <w:sz w:val="32"/>
      <w:szCs w:val="32"/>
    </w:rPr>
  </w:style>
  <w:style w:type="character" w:customStyle="1" w:styleId="27">
    <w:name w:val="标题 4 Char"/>
    <w:basedOn w:val="20"/>
    <w:link w:val="5"/>
    <w:qFormat/>
    <w:uiPriority w:val="9"/>
    <w:rPr>
      <w:rFonts w:ascii="Cambria" w:hAnsi="Cambria" w:eastAsia="宋体" w:cs="宋体"/>
      <w:b/>
      <w:bCs/>
      <w:sz w:val="28"/>
      <w:szCs w:val="28"/>
    </w:rPr>
  </w:style>
  <w:style w:type="character" w:customStyle="1" w:styleId="28">
    <w:name w:val="标题 6 Char"/>
    <w:basedOn w:val="20"/>
    <w:link w:val="6"/>
    <w:qFormat/>
    <w:uiPriority w:val="9"/>
    <w:rPr>
      <w:rFonts w:ascii="Cambria" w:hAnsi="Cambria" w:eastAsia="宋体" w:cs="宋体"/>
      <w:b/>
      <w:bCs/>
      <w:sz w:val="24"/>
      <w:szCs w:val="24"/>
    </w:rPr>
  </w:style>
  <w:style w:type="character" w:customStyle="1" w:styleId="29">
    <w:name w:val="称呼 Char"/>
    <w:basedOn w:val="20"/>
    <w:link w:val="8"/>
    <w:qFormat/>
    <w:uiPriority w:val="99"/>
    <w:rPr>
      <w:szCs w:val="24"/>
    </w:rPr>
  </w:style>
  <w:style w:type="character" w:customStyle="1" w:styleId="30">
    <w:name w:val="正文文本 Char"/>
    <w:basedOn w:val="20"/>
    <w:link w:val="9"/>
    <w:qFormat/>
    <w:uiPriority w:val="99"/>
    <w:rPr>
      <w:szCs w:val="24"/>
    </w:rPr>
  </w:style>
  <w:style w:type="character" w:customStyle="1" w:styleId="31">
    <w:name w:val="正文文本缩进 Char"/>
    <w:basedOn w:val="20"/>
    <w:link w:val="10"/>
    <w:qFormat/>
    <w:uiPriority w:val="99"/>
    <w:rPr>
      <w:szCs w:val="24"/>
    </w:rPr>
  </w:style>
  <w:style w:type="character" w:customStyle="1" w:styleId="32">
    <w:name w:val="纯文本 Char"/>
    <w:basedOn w:val="20"/>
    <w:link w:val="12"/>
    <w:qFormat/>
    <w:uiPriority w:val="99"/>
    <w:rPr>
      <w:rFonts w:ascii="宋体" w:hAnsi="Courier New" w:cs="Courier New"/>
      <w:szCs w:val="21"/>
    </w:rPr>
  </w:style>
  <w:style w:type="character" w:customStyle="1" w:styleId="33">
    <w:name w:val="日期 Char"/>
    <w:basedOn w:val="20"/>
    <w:link w:val="13"/>
    <w:qFormat/>
    <w:uiPriority w:val="99"/>
    <w:rPr>
      <w:szCs w:val="24"/>
    </w:rPr>
  </w:style>
  <w:style w:type="character" w:customStyle="1" w:styleId="34">
    <w:name w:val="批注框文本 Char"/>
    <w:basedOn w:val="20"/>
    <w:link w:val="14"/>
    <w:qFormat/>
    <w:uiPriority w:val="99"/>
    <w:rPr>
      <w:rFonts w:ascii="Times New Roman" w:hAnsi="Times New Roman" w:cs="Times New Roman"/>
      <w:kern w:val="2"/>
      <w:sz w:val="18"/>
      <w:szCs w:val="18"/>
    </w:rPr>
  </w:style>
  <w:style w:type="character" w:customStyle="1" w:styleId="35">
    <w:name w:val="页脚 Char"/>
    <w:basedOn w:val="20"/>
    <w:link w:val="15"/>
    <w:qFormat/>
    <w:uiPriority w:val="99"/>
    <w:rPr>
      <w:sz w:val="18"/>
      <w:szCs w:val="18"/>
    </w:rPr>
  </w:style>
  <w:style w:type="character" w:customStyle="1" w:styleId="36">
    <w:name w:val="页眉 Char"/>
    <w:basedOn w:val="20"/>
    <w:link w:val="16"/>
    <w:qFormat/>
    <w:uiPriority w:val="99"/>
    <w:rPr>
      <w:sz w:val="18"/>
      <w:szCs w:val="18"/>
    </w:rPr>
  </w:style>
  <w:style w:type="paragraph" w:customStyle="1" w:styleId="37">
    <w:name w:val="Blockquote"/>
    <w:basedOn w:val="1"/>
    <w:qFormat/>
    <w:uiPriority w:val="99"/>
    <w:pPr>
      <w:autoSpaceDE w:val="0"/>
      <w:autoSpaceDN w:val="0"/>
      <w:adjustRightInd w:val="0"/>
      <w:spacing w:before="100" w:after="100"/>
      <w:ind w:left="360" w:right="360"/>
      <w:jc w:val="left"/>
    </w:pPr>
    <w:rPr>
      <w:kern w:val="0"/>
      <w:sz w:val="24"/>
      <w:szCs w:val="20"/>
    </w:rPr>
  </w:style>
  <w:style w:type="paragraph" w:customStyle="1" w:styleId="38">
    <w:name w:val="普通 (Web)"/>
    <w:basedOn w:val="1"/>
    <w:qFormat/>
    <w:uiPriority w:val="99"/>
    <w:pPr>
      <w:widowControl/>
      <w:spacing w:before="100" w:beforeAutospacing="1" w:after="100" w:afterAutospacing="1"/>
      <w:jc w:val="left"/>
    </w:pPr>
    <w:rPr>
      <w:rFonts w:ascii="宋体" w:hAnsi="宋体"/>
      <w:kern w:val="0"/>
      <w:sz w:val="24"/>
    </w:rPr>
  </w:style>
  <w:style w:type="paragraph" w:customStyle="1" w:styleId="39">
    <w:name w:val="WPSOffice手动目录 1"/>
    <w:qFormat/>
    <w:uiPriority w:val="99"/>
    <w:rPr>
      <w:rFonts w:ascii="Times New Roman" w:hAnsi="Times New Roman" w:eastAsia="宋体" w:cs="Times New Roman"/>
      <w:lang w:val="en-US" w:eastAsia="zh-CN" w:bidi="ar-SA"/>
    </w:rPr>
  </w:style>
  <w:style w:type="paragraph" w:customStyle="1" w:styleId="40">
    <w:name w:val="WPSOffice手动目录 2"/>
    <w:qFormat/>
    <w:uiPriority w:val="99"/>
    <w:pPr>
      <w:ind w:left="200" w:leftChars="200"/>
    </w:pPr>
    <w:rPr>
      <w:rFonts w:ascii="Times New Roman" w:hAnsi="Times New Roman" w:eastAsia="宋体" w:cs="Times New Roman"/>
      <w:lang w:val="en-US" w:eastAsia="zh-CN" w:bidi="ar-SA"/>
    </w:rPr>
  </w:style>
  <w:style w:type="paragraph" w:customStyle="1" w:styleId="41">
    <w:name w:val="Table Paragraph"/>
    <w:basedOn w:val="1"/>
    <w:qFormat/>
    <w:uiPriority w:val="99"/>
    <w:pPr>
      <w:spacing w:before="150"/>
    </w:pPr>
    <w:rPr>
      <w:rFonts w:ascii="宋体" w:hAnsi="宋体" w:cs="宋体"/>
      <w:lang w:val="zh-CN"/>
    </w:rPr>
  </w:style>
  <w:style w:type="paragraph" w:styleId="42">
    <w:name w:val="List Paragraph"/>
    <w:basedOn w:val="1"/>
    <w:qFormat/>
    <w:uiPriority w:val="99"/>
    <w:pPr>
      <w:ind w:left="1763" w:hanging="527"/>
    </w:pPr>
    <w:rPr>
      <w:rFonts w:ascii="宋体" w:hAnsi="宋体" w:cs="宋体"/>
      <w:lang w:val="zh-CN"/>
    </w:rPr>
  </w:style>
  <w:style w:type="paragraph" w:customStyle="1" w:styleId="43">
    <w:name w:val="RB Basic"/>
    <w:basedOn w:val="1"/>
    <w:qFormat/>
    <w:uiPriority w:val="0"/>
    <w:pPr>
      <w:widowControl/>
      <w:snapToGrid w:val="0"/>
      <w:spacing w:after="240"/>
      <w:jc w:val="left"/>
    </w:pPr>
    <w:rPr>
      <w:rFonts w:ascii="Calibri" w:hAnsi="Calibri" w:eastAsia="MS Mincho" w:cs="Calibri"/>
      <w:kern w:val="0"/>
      <w:sz w:val="22"/>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customShpInfo spid="_x0000_s2049"/>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user</Company>
  <Pages>58</Pages>
  <Words>5882</Words>
  <Characters>33533</Characters>
  <Lines>279</Lines>
  <Paragraphs>78</Paragraphs>
  <ScaleCrop>false</ScaleCrop>
  <LinksUpToDate>false</LinksUpToDate>
  <CharactersWithSpaces>39337</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2020-06-10T04:20:00Z</dcterms:created>
  <dc:creator>NTKO</dc:creator>
  <cp:lastModifiedBy>代理咨询</cp:lastModifiedBy>
  <cp:lastPrinted>2020-06-14T14:21:00Z</cp:lastPrinted>
  <dcterms:modified xsi:type="dcterms:W3CDTF">2020-06-15T03:38:19Z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