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0" w:lineRule="auto"/>
        <w:rPr>
          <w:rFonts w:hint="eastAsia" w:ascii="宋体" w:hAnsi="宋体" w:eastAsia="宋体" w:cs="宋体"/>
          <w:b/>
          <w:sz w:val="24"/>
          <w:szCs w:val="24"/>
          <w:lang w:eastAsia="zh-CN"/>
        </w:rPr>
      </w:pPr>
      <w:bookmarkStart w:id="0" w:name="_GoBack"/>
      <w:bookmarkEnd w:id="0"/>
      <w:r>
        <w:rPr>
          <w:rFonts w:hint="eastAsia" w:ascii="宋体" w:hAnsi="宋体" w:eastAsia="宋体" w:cs="宋体"/>
          <w:b/>
          <w:sz w:val="24"/>
          <w:szCs w:val="24"/>
          <w:lang w:eastAsia="zh-CN"/>
        </w:rPr>
        <w:t>附件四：</w:t>
      </w:r>
    </w:p>
    <w:p>
      <w:pPr>
        <w:pStyle w:val="2"/>
        <w:spacing w:line="240" w:lineRule="auto"/>
        <w:rPr>
          <w:rFonts w:hint="eastAsia" w:ascii="宋体" w:hAnsi="宋体" w:eastAsia="宋体" w:cs="宋体"/>
          <w:b/>
          <w:sz w:val="24"/>
          <w:szCs w:val="24"/>
          <w:lang w:eastAsia="zh-CN"/>
        </w:rPr>
      </w:pPr>
    </w:p>
    <w:p>
      <w:pPr>
        <w:pStyle w:val="2"/>
        <w:numPr>
          <w:ilvl w:val="0"/>
          <w:numId w:val="1"/>
        </w:numPr>
        <w:spacing w:line="240" w:lineRule="auto"/>
        <w:rPr>
          <w:rFonts w:hint="eastAsia" w:ascii="宋体" w:hAnsi="宋体" w:eastAsia="宋体" w:cs="宋体"/>
          <w:kern w:val="2"/>
          <w:sz w:val="24"/>
          <w:szCs w:val="24"/>
        </w:rPr>
      </w:pPr>
      <w:r>
        <w:rPr>
          <w:rFonts w:hint="eastAsia" w:ascii="宋体" w:hAnsi="宋体" w:eastAsia="宋体" w:cs="宋体"/>
          <w:kern w:val="2"/>
          <w:sz w:val="24"/>
          <w:szCs w:val="24"/>
        </w:rPr>
        <w:t>技术</w:t>
      </w:r>
      <w:r>
        <w:rPr>
          <w:rFonts w:hint="eastAsia" w:ascii="宋体" w:hAnsi="宋体" w:eastAsia="宋体" w:cs="宋体"/>
          <w:kern w:val="2"/>
          <w:sz w:val="24"/>
          <w:szCs w:val="24"/>
          <w:lang w:val="en-US" w:eastAsia="zh-CN"/>
        </w:rPr>
        <w:t>参数</w:t>
      </w:r>
      <w:r>
        <w:rPr>
          <w:rFonts w:hint="eastAsia" w:ascii="宋体" w:hAnsi="宋体" w:eastAsia="宋体" w:cs="宋体"/>
          <w:kern w:val="2"/>
          <w:sz w:val="24"/>
          <w:szCs w:val="24"/>
        </w:rPr>
        <w:t>要求：</w:t>
      </w:r>
    </w:p>
    <w:p>
      <w:pPr>
        <w:spacing w:line="360" w:lineRule="auto"/>
        <w:jc w:val="both"/>
        <w:rPr>
          <w:rFonts w:hint="eastAsia" w:ascii="宋体" w:hAnsi="宋体" w:eastAsia="宋体" w:cstheme="minorEastAsia"/>
          <w:sz w:val="24"/>
          <w:szCs w:val="24"/>
        </w:rPr>
      </w:pPr>
      <w:r>
        <w:rPr>
          <w:rFonts w:hint="eastAsia" w:ascii="宋体" w:hAnsi="宋体" w:eastAsia="宋体" w:cstheme="minorEastAsia"/>
          <w:sz w:val="24"/>
          <w:szCs w:val="24"/>
        </w:rPr>
        <w:t>本次采购内容为医用液氧、瓶装氧、二氧化碳气等供应及运输配送服务，采购的医用氧气质量标准须符合《中国药典2020版》规定，液氧纯度≥99.5%。二氧化碳及其他气体符合国家标准。</w:t>
      </w:r>
    </w:p>
    <w:p>
      <w:pPr>
        <w:spacing w:line="360" w:lineRule="auto"/>
        <w:jc w:val="both"/>
        <w:rPr>
          <w:rFonts w:hint="eastAsia" w:ascii="宋体" w:hAnsi="宋体" w:eastAsia="宋体" w:cstheme="minorEastAsia"/>
          <w:sz w:val="24"/>
          <w:szCs w:val="24"/>
        </w:rPr>
      </w:pPr>
      <w:r>
        <w:rPr>
          <w:rFonts w:hint="eastAsia" w:ascii="宋体" w:hAnsi="宋体" w:eastAsia="宋体" w:cstheme="minorEastAsia"/>
          <w:sz w:val="24"/>
          <w:szCs w:val="24"/>
        </w:rPr>
        <w:t>采购数量以临床实际需求量为准，必须及时满足临床需求；</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1"/>
        <w:gridCol w:w="1380"/>
        <w:gridCol w:w="1785"/>
        <w:gridCol w:w="1455"/>
        <w:gridCol w:w="1695"/>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1" w:type="dxa"/>
          </w:tcPr>
          <w:p>
            <w:pPr>
              <w:spacing w:line="600" w:lineRule="auto"/>
              <w:jc w:val="center"/>
              <w:rPr>
                <w:sz w:val="28"/>
                <w:szCs w:val="28"/>
              </w:rPr>
            </w:pPr>
            <w:r>
              <w:rPr>
                <w:sz w:val="28"/>
                <w:szCs w:val="28"/>
              </w:rPr>
              <w:t>产品名称</w:t>
            </w:r>
          </w:p>
        </w:tc>
        <w:tc>
          <w:tcPr>
            <w:tcW w:w="1380" w:type="dxa"/>
          </w:tcPr>
          <w:p>
            <w:pPr>
              <w:spacing w:line="600" w:lineRule="auto"/>
              <w:jc w:val="center"/>
              <w:rPr>
                <w:sz w:val="28"/>
                <w:szCs w:val="28"/>
              </w:rPr>
            </w:pPr>
            <w:r>
              <w:rPr>
                <w:sz w:val="28"/>
                <w:szCs w:val="28"/>
              </w:rPr>
              <w:t>规格</w:t>
            </w:r>
          </w:p>
        </w:tc>
        <w:tc>
          <w:tcPr>
            <w:tcW w:w="1785" w:type="dxa"/>
          </w:tcPr>
          <w:p>
            <w:pPr>
              <w:spacing w:line="600" w:lineRule="auto"/>
              <w:ind w:firstLine="280" w:firstLineChars="100"/>
              <w:jc w:val="center"/>
              <w:rPr>
                <w:sz w:val="28"/>
                <w:szCs w:val="28"/>
              </w:rPr>
            </w:pPr>
            <w:r>
              <w:rPr>
                <w:sz w:val="28"/>
                <w:szCs w:val="28"/>
              </w:rPr>
              <w:t>纯度</w:t>
            </w:r>
          </w:p>
        </w:tc>
        <w:tc>
          <w:tcPr>
            <w:tcW w:w="1455" w:type="dxa"/>
          </w:tcPr>
          <w:p>
            <w:pPr>
              <w:spacing w:line="600" w:lineRule="auto"/>
              <w:jc w:val="center"/>
              <w:rPr>
                <w:sz w:val="28"/>
                <w:szCs w:val="28"/>
              </w:rPr>
            </w:pPr>
            <w:r>
              <w:rPr>
                <w:sz w:val="28"/>
                <w:szCs w:val="28"/>
              </w:rPr>
              <w:t>单位</w:t>
            </w:r>
          </w:p>
        </w:tc>
        <w:tc>
          <w:tcPr>
            <w:tcW w:w="1695" w:type="dxa"/>
          </w:tcPr>
          <w:p>
            <w:pPr>
              <w:jc w:val="center"/>
              <w:rPr>
                <w:sz w:val="28"/>
                <w:szCs w:val="28"/>
              </w:rPr>
            </w:pPr>
            <w:r>
              <w:rPr>
                <w:rFonts w:hint="eastAsia"/>
                <w:sz w:val="28"/>
                <w:szCs w:val="28"/>
              </w:rPr>
              <w:t>数</w:t>
            </w:r>
            <w:r>
              <w:rPr>
                <w:rFonts w:hint="eastAsia"/>
                <w:sz w:val="28"/>
                <w:szCs w:val="28"/>
                <w:lang w:eastAsia="zh-CN"/>
              </w:rPr>
              <w:t>量</w:t>
            </w:r>
            <w:r>
              <w:rPr>
                <w:rFonts w:hint="eastAsia"/>
                <w:sz w:val="28"/>
                <w:szCs w:val="28"/>
              </w:rPr>
              <w:t>（瓶）</w:t>
            </w:r>
          </w:p>
        </w:tc>
        <w:tc>
          <w:tcPr>
            <w:tcW w:w="1800" w:type="dxa"/>
          </w:tcPr>
          <w:p>
            <w:pPr>
              <w:spacing w:line="600" w:lineRule="auto"/>
              <w:jc w:val="center"/>
              <w:rPr>
                <w:sz w:val="28"/>
                <w:szCs w:val="28"/>
              </w:rPr>
            </w:pPr>
            <w:r>
              <w:rPr>
                <w:rFonts w:hint="eastAsia"/>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2221" w:type="dxa"/>
          </w:tcPr>
          <w:p>
            <w:pPr>
              <w:spacing w:line="600" w:lineRule="auto"/>
              <w:ind w:firstLine="240" w:firstLineChars="100"/>
              <w:jc w:val="center"/>
              <w:rPr>
                <w:sz w:val="24"/>
                <w:szCs w:val="24"/>
              </w:rPr>
            </w:pPr>
            <w:r>
              <w:rPr>
                <w:rFonts w:hint="eastAsia"/>
                <w:sz w:val="24"/>
                <w:szCs w:val="24"/>
              </w:rPr>
              <w:t>医用液氧</w:t>
            </w:r>
          </w:p>
        </w:tc>
        <w:tc>
          <w:tcPr>
            <w:tcW w:w="1380" w:type="dxa"/>
          </w:tcPr>
          <w:p>
            <w:pPr>
              <w:spacing w:line="600" w:lineRule="auto"/>
              <w:jc w:val="center"/>
              <w:rPr>
                <w:sz w:val="24"/>
                <w:szCs w:val="24"/>
              </w:rPr>
            </w:pPr>
            <w:r>
              <w:rPr>
                <w:rFonts w:hint="eastAsia"/>
                <w:sz w:val="24"/>
                <w:szCs w:val="24"/>
              </w:rPr>
              <w:t>/</w:t>
            </w:r>
          </w:p>
        </w:tc>
        <w:tc>
          <w:tcPr>
            <w:tcW w:w="1785" w:type="dxa"/>
          </w:tcPr>
          <w:p>
            <w:pPr>
              <w:spacing w:line="600" w:lineRule="auto"/>
              <w:jc w:val="center"/>
              <w:rPr>
                <w:sz w:val="24"/>
                <w:szCs w:val="24"/>
              </w:rPr>
            </w:pPr>
            <w:r>
              <w:rPr>
                <w:rFonts w:hint="eastAsia"/>
                <w:sz w:val="24"/>
                <w:szCs w:val="24"/>
              </w:rPr>
              <w:t>≥99.5%</w:t>
            </w:r>
          </w:p>
        </w:tc>
        <w:tc>
          <w:tcPr>
            <w:tcW w:w="1455" w:type="dxa"/>
            <w:vAlign w:val="center"/>
          </w:tcPr>
          <w:p>
            <w:pPr>
              <w:spacing w:line="600" w:lineRule="auto"/>
              <w:jc w:val="center"/>
              <w:rPr>
                <w:sz w:val="24"/>
                <w:szCs w:val="24"/>
              </w:rPr>
            </w:pPr>
            <w:r>
              <w:rPr>
                <w:sz w:val="24"/>
                <w:szCs w:val="24"/>
              </w:rPr>
              <w:t>吨</w:t>
            </w:r>
          </w:p>
        </w:tc>
        <w:tc>
          <w:tcPr>
            <w:tcW w:w="1695" w:type="dxa"/>
          </w:tcPr>
          <w:p>
            <w:pPr>
              <w:jc w:val="center"/>
              <w:rPr>
                <w:sz w:val="24"/>
                <w:szCs w:val="24"/>
              </w:rPr>
            </w:pPr>
          </w:p>
        </w:tc>
        <w:tc>
          <w:tcPr>
            <w:tcW w:w="1800" w:type="dxa"/>
            <w:vAlign w:val="center"/>
          </w:tcPr>
          <w:p>
            <w:pPr>
              <w:spacing w:line="600" w:lineRule="auto"/>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1" w:type="dxa"/>
          </w:tcPr>
          <w:p>
            <w:pPr>
              <w:spacing w:line="600" w:lineRule="auto"/>
              <w:jc w:val="center"/>
              <w:rPr>
                <w:sz w:val="24"/>
                <w:szCs w:val="24"/>
              </w:rPr>
            </w:pPr>
            <w:r>
              <w:rPr>
                <w:rFonts w:hint="eastAsia"/>
                <w:sz w:val="24"/>
                <w:szCs w:val="24"/>
              </w:rPr>
              <w:t>医用瓶装氧气</w:t>
            </w:r>
          </w:p>
        </w:tc>
        <w:tc>
          <w:tcPr>
            <w:tcW w:w="1380" w:type="dxa"/>
          </w:tcPr>
          <w:p>
            <w:pPr>
              <w:spacing w:line="600" w:lineRule="auto"/>
              <w:jc w:val="center"/>
              <w:rPr>
                <w:sz w:val="24"/>
                <w:szCs w:val="24"/>
              </w:rPr>
            </w:pPr>
            <w:r>
              <w:rPr>
                <w:rFonts w:hint="eastAsia"/>
                <w:sz w:val="24"/>
                <w:szCs w:val="24"/>
              </w:rPr>
              <w:t>40升</w:t>
            </w:r>
          </w:p>
        </w:tc>
        <w:tc>
          <w:tcPr>
            <w:tcW w:w="1785" w:type="dxa"/>
          </w:tcPr>
          <w:p>
            <w:pPr>
              <w:spacing w:line="600" w:lineRule="auto"/>
              <w:jc w:val="center"/>
              <w:rPr>
                <w:sz w:val="24"/>
                <w:szCs w:val="24"/>
              </w:rPr>
            </w:pPr>
            <w:r>
              <w:rPr>
                <w:rFonts w:hint="eastAsia"/>
                <w:sz w:val="24"/>
                <w:szCs w:val="24"/>
              </w:rPr>
              <w:t>≥99.5%</w:t>
            </w:r>
          </w:p>
        </w:tc>
        <w:tc>
          <w:tcPr>
            <w:tcW w:w="1455" w:type="dxa"/>
            <w:vAlign w:val="center"/>
          </w:tcPr>
          <w:p>
            <w:pPr>
              <w:spacing w:line="600" w:lineRule="auto"/>
              <w:jc w:val="center"/>
              <w:rPr>
                <w:sz w:val="28"/>
                <w:szCs w:val="28"/>
              </w:rPr>
            </w:pPr>
            <w:r>
              <w:rPr>
                <w:sz w:val="24"/>
                <w:szCs w:val="24"/>
              </w:rPr>
              <w:t>瓶</w:t>
            </w:r>
          </w:p>
        </w:tc>
        <w:tc>
          <w:tcPr>
            <w:tcW w:w="1695" w:type="dxa"/>
          </w:tcPr>
          <w:p>
            <w:pPr>
              <w:spacing w:line="600" w:lineRule="auto"/>
              <w:jc w:val="center"/>
              <w:rPr>
                <w:sz w:val="24"/>
                <w:szCs w:val="24"/>
              </w:rPr>
            </w:pPr>
          </w:p>
        </w:tc>
        <w:tc>
          <w:tcPr>
            <w:tcW w:w="1800" w:type="dxa"/>
            <w:vAlign w:val="center"/>
          </w:tcPr>
          <w:p>
            <w:pPr>
              <w:spacing w:line="600" w:lineRule="auto"/>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1" w:type="dxa"/>
          </w:tcPr>
          <w:p>
            <w:pPr>
              <w:spacing w:line="600" w:lineRule="auto"/>
              <w:jc w:val="center"/>
              <w:rPr>
                <w:sz w:val="24"/>
                <w:szCs w:val="24"/>
              </w:rPr>
            </w:pPr>
            <w:r>
              <w:rPr>
                <w:rFonts w:hint="eastAsia"/>
                <w:sz w:val="24"/>
                <w:szCs w:val="24"/>
              </w:rPr>
              <w:t>医用瓶装氧气</w:t>
            </w:r>
          </w:p>
        </w:tc>
        <w:tc>
          <w:tcPr>
            <w:tcW w:w="1380" w:type="dxa"/>
          </w:tcPr>
          <w:p>
            <w:pPr>
              <w:spacing w:line="600" w:lineRule="auto"/>
              <w:jc w:val="center"/>
              <w:rPr>
                <w:sz w:val="24"/>
                <w:szCs w:val="24"/>
              </w:rPr>
            </w:pPr>
            <w:r>
              <w:rPr>
                <w:rFonts w:hint="eastAsia"/>
                <w:sz w:val="24"/>
                <w:szCs w:val="24"/>
              </w:rPr>
              <w:t>10升</w:t>
            </w:r>
          </w:p>
        </w:tc>
        <w:tc>
          <w:tcPr>
            <w:tcW w:w="1785" w:type="dxa"/>
          </w:tcPr>
          <w:p>
            <w:pPr>
              <w:spacing w:line="600" w:lineRule="auto"/>
              <w:jc w:val="center"/>
              <w:rPr>
                <w:sz w:val="24"/>
                <w:szCs w:val="24"/>
              </w:rPr>
            </w:pPr>
            <w:r>
              <w:rPr>
                <w:rFonts w:hint="eastAsia"/>
                <w:sz w:val="24"/>
                <w:szCs w:val="24"/>
              </w:rPr>
              <w:t>≥99.5%</w:t>
            </w:r>
          </w:p>
        </w:tc>
        <w:tc>
          <w:tcPr>
            <w:tcW w:w="1455" w:type="dxa"/>
            <w:vAlign w:val="center"/>
          </w:tcPr>
          <w:p>
            <w:pPr>
              <w:spacing w:line="600" w:lineRule="auto"/>
              <w:jc w:val="center"/>
              <w:rPr>
                <w:sz w:val="28"/>
                <w:szCs w:val="28"/>
              </w:rPr>
            </w:pPr>
            <w:r>
              <w:rPr>
                <w:sz w:val="24"/>
                <w:szCs w:val="24"/>
              </w:rPr>
              <w:t>瓶</w:t>
            </w:r>
          </w:p>
        </w:tc>
        <w:tc>
          <w:tcPr>
            <w:tcW w:w="1695" w:type="dxa"/>
          </w:tcPr>
          <w:p>
            <w:pPr>
              <w:spacing w:line="600" w:lineRule="auto"/>
              <w:jc w:val="center"/>
              <w:rPr>
                <w:sz w:val="24"/>
                <w:szCs w:val="24"/>
              </w:rPr>
            </w:pPr>
          </w:p>
        </w:tc>
        <w:tc>
          <w:tcPr>
            <w:tcW w:w="1800" w:type="dxa"/>
            <w:vAlign w:val="center"/>
          </w:tcPr>
          <w:p>
            <w:pPr>
              <w:spacing w:line="600" w:lineRule="auto"/>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1" w:type="dxa"/>
          </w:tcPr>
          <w:p>
            <w:pPr>
              <w:spacing w:line="600" w:lineRule="auto"/>
              <w:jc w:val="center"/>
              <w:rPr>
                <w:sz w:val="24"/>
                <w:szCs w:val="24"/>
              </w:rPr>
            </w:pPr>
            <w:r>
              <w:rPr>
                <w:rFonts w:hint="eastAsia"/>
                <w:sz w:val="24"/>
                <w:szCs w:val="24"/>
              </w:rPr>
              <w:t>医用瓶装氧气</w:t>
            </w:r>
          </w:p>
        </w:tc>
        <w:tc>
          <w:tcPr>
            <w:tcW w:w="1380" w:type="dxa"/>
          </w:tcPr>
          <w:p>
            <w:pPr>
              <w:spacing w:line="600" w:lineRule="auto"/>
              <w:jc w:val="center"/>
              <w:rPr>
                <w:sz w:val="24"/>
                <w:szCs w:val="24"/>
              </w:rPr>
            </w:pPr>
            <w:r>
              <w:rPr>
                <w:rFonts w:hint="eastAsia"/>
                <w:sz w:val="24"/>
                <w:szCs w:val="24"/>
              </w:rPr>
              <w:t>4升</w:t>
            </w:r>
          </w:p>
        </w:tc>
        <w:tc>
          <w:tcPr>
            <w:tcW w:w="1785" w:type="dxa"/>
          </w:tcPr>
          <w:p>
            <w:pPr>
              <w:spacing w:line="600" w:lineRule="auto"/>
              <w:jc w:val="center"/>
              <w:rPr>
                <w:sz w:val="24"/>
                <w:szCs w:val="24"/>
              </w:rPr>
            </w:pPr>
            <w:r>
              <w:rPr>
                <w:rFonts w:hint="eastAsia"/>
                <w:sz w:val="24"/>
                <w:szCs w:val="24"/>
              </w:rPr>
              <w:t>≥99.5%</w:t>
            </w:r>
          </w:p>
        </w:tc>
        <w:tc>
          <w:tcPr>
            <w:tcW w:w="1455" w:type="dxa"/>
            <w:vAlign w:val="center"/>
          </w:tcPr>
          <w:p>
            <w:pPr>
              <w:spacing w:line="600" w:lineRule="auto"/>
              <w:jc w:val="center"/>
              <w:rPr>
                <w:sz w:val="28"/>
                <w:szCs w:val="28"/>
              </w:rPr>
            </w:pPr>
            <w:r>
              <w:rPr>
                <w:sz w:val="24"/>
                <w:szCs w:val="24"/>
              </w:rPr>
              <w:t>瓶</w:t>
            </w:r>
          </w:p>
        </w:tc>
        <w:tc>
          <w:tcPr>
            <w:tcW w:w="1695" w:type="dxa"/>
          </w:tcPr>
          <w:p>
            <w:pPr>
              <w:spacing w:line="600" w:lineRule="auto"/>
              <w:jc w:val="center"/>
              <w:rPr>
                <w:sz w:val="24"/>
                <w:szCs w:val="24"/>
              </w:rPr>
            </w:pPr>
          </w:p>
        </w:tc>
        <w:tc>
          <w:tcPr>
            <w:tcW w:w="1800" w:type="dxa"/>
            <w:vAlign w:val="center"/>
          </w:tcPr>
          <w:p>
            <w:pPr>
              <w:spacing w:line="600" w:lineRule="auto"/>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1" w:type="dxa"/>
          </w:tcPr>
          <w:p>
            <w:pPr>
              <w:spacing w:line="600" w:lineRule="auto"/>
              <w:jc w:val="center"/>
              <w:rPr>
                <w:sz w:val="24"/>
                <w:szCs w:val="24"/>
              </w:rPr>
            </w:pPr>
            <w:r>
              <w:rPr>
                <w:rFonts w:hint="eastAsia"/>
                <w:sz w:val="24"/>
                <w:szCs w:val="24"/>
              </w:rPr>
              <w:t>二氧化碳</w:t>
            </w:r>
          </w:p>
        </w:tc>
        <w:tc>
          <w:tcPr>
            <w:tcW w:w="1380" w:type="dxa"/>
          </w:tcPr>
          <w:p>
            <w:pPr>
              <w:spacing w:line="600" w:lineRule="auto"/>
              <w:jc w:val="center"/>
              <w:rPr>
                <w:sz w:val="24"/>
                <w:szCs w:val="24"/>
              </w:rPr>
            </w:pPr>
            <w:r>
              <w:rPr>
                <w:rFonts w:hint="eastAsia"/>
                <w:sz w:val="24"/>
                <w:szCs w:val="24"/>
              </w:rPr>
              <w:t>40升</w:t>
            </w:r>
          </w:p>
        </w:tc>
        <w:tc>
          <w:tcPr>
            <w:tcW w:w="1785" w:type="dxa"/>
          </w:tcPr>
          <w:p>
            <w:pPr>
              <w:spacing w:line="600" w:lineRule="auto"/>
              <w:jc w:val="center"/>
              <w:rPr>
                <w:sz w:val="24"/>
                <w:szCs w:val="24"/>
              </w:rPr>
            </w:pPr>
            <w:r>
              <w:rPr>
                <w:rFonts w:hint="eastAsia"/>
                <w:sz w:val="24"/>
                <w:szCs w:val="24"/>
              </w:rPr>
              <w:t>≥99.99%</w:t>
            </w:r>
          </w:p>
        </w:tc>
        <w:tc>
          <w:tcPr>
            <w:tcW w:w="1455" w:type="dxa"/>
            <w:vAlign w:val="center"/>
          </w:tcPr>
          <w:p>
            <w:pPr>
              <w:spacing w:line="600" w:lineRule="auto"/>
              <w:jc w:val="center"/>
              <w:rPr>
                <w:sz w:val="28"/>
                <w:szCs w:val="28"/>
              </w:rPr>
            </w:pPr>
            <w:r>
              <w:rPr>
                <w:sz w:val="24"/>
                <w:szCs w:val="24"/>
              </w:rPr>
              <w:t>瓶</w:t>
            </w:r>
          </w:p>
        </w:tc>
        <w:tc>
          <w:tcPr>
            <w:tcW w:w="1695" w:type="dxa"/>
          </w:tcPr>
          <w:p>
            <w:pPr>
              <w:spacing w:line="600" w:lineRule="auto"/>
              <w:jc w:val="center"/>
              <w:rPr>
                <w:sz w:val="24"/>
                <w:szCs w:val="24"/>
              </w:rPr>
            </w:pPr>
          </w:p>
        </w:tc>
        <w:tc>
          <w:tcPr>
            <w:tcW w:w="1800" w:type="dxa"/>
            <w:vAlign w:val="center"/>
          </w:tcPr>
          <w:p>
            <w:pPr>
              <w:spacing w:line="600" w:lineRule="auto"/>
              <w:jc w:val="center"/>
              <w:rPr>
                <w:sz w:val="24"/>
                <w:szCs w:val="24"/>
              </w:rPr>
            </w:pPr>
            <w:r>
              <w:rPr>
                <w:sz w:val="24"/>
                <w:szCs w:val="24"/>
              </w:rPr>
              <w:t>食品级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1" w:type="dxa"/>
          </w:tcPr>
          <w:p>
            <w:pPr>
              <w:spacing w:line="600" w:lineRule="auto"/>
              <w:jc w:val="center"/>
              <w:rPr>
                <w:sz w:val="24"/>
                <w:szCs w:val="24"/>
              </w:rPr>
            </w:pPr>
            <w:r>
              <w:rPr>
                <w:rFonts w:hint="eastAsia"/>
                <w:sz w:val="24"/>
                <w:szCs w:val="24"/>
              </w:rPr>
              <w:t>高纯二氧化碳</w:t>
            </w:r>
          </w:p>
        </w:tc>
        <w:tc>
          <w:tcPr>
            <w:tcW w:w="1380" w:type="dxa"/>
          </w:tcPr>
          <w:p>
            <w:pPr>
              <w:spacing w:line="600" w:lineRule="auto"/>
              <w:jc w:val="center"/>
              <w:rPr>
                <w:sz w:val="24"/>
                <w:szCs w:val="24"/>
              </w:rPr>
            </w:pPr>
            <w:r>
              <w:rPr>
                <w:rFonts w:hint="eastAsia"/>
                <w:sz w:val="24"/>
                <w:szCs w:val="24"/>
              </w:rPr>
              <w:t>40升</w:t>
            </w:r>
          </w:p>
        </w:tc>
        <w:tc>
          <w:tcPr>
            <w:tcW w:w="1785" w:type="dxa"/>
          </w:tcPr>
          <w:p>
            <w:pPr>
              <w:spacing w:line="600" w:lineRule="auto"/>
              <w:jc w:val="center"/>
              <w:rPr>
                <w:sz w:val="24"/>
                <w:szCs w:val="24"/>
              </w:rPr>
            </w:pPr>
            <w:r>
              <w:rPr>
                <w:rFonts w:hint="eastAsia"/>
                <w:sz w:val="24"/>
                <w:szCs w:val="24"/>
              </w:rPr>
              <w:t>≥99.999%</w:t>
            </w:r>
          </w:p>
        </w:tc>
        <w:tc>
          <w:tcPr>
            <w:tcW w:w="1455" w:type="dxa"/>
            <w:vAlign w:val="center"/>
          </w:tcPr>
          <w:p>
            <w:pPr>
              <w:spacing w:line="600" w:lineRule="auto"/>
              <w:jc w:val="center"/>
              <w:rPr>
                <w:sz w:val="24"/>
                <w:szCs w:val="24"/>
              </w:rPr>
            </w:pPr>
            <w:r>
              <w:rPr>
                <w:sz w:val="24"/>
                <w:szCs w:val="24"/>
              </w:rPr>
              <w:t>瓶</w:t>
            </w:r>
          </w:p>
        </w:tc>
        <w:tc>
          <w:tcPr>
            <w:tcW w:w="1695" w:type="dxa"/>
          </w:tcPr>
          <w:p>
            <w:pPr>
              <w:spacing w:line="600" w:lineRule="auto"/>
              <w:jc w:val="center"/>
              <w:rPr>
                <w:sz w:val="24"/>
                <w:szCs w:val="24"/>
              </w:rPr>
            </w:pPr>
          </w:p>
        </w:tc>
        <w:tc>
          <w:tcPr>
            <w:tcW w:w="1800" w:type="dxa"/>
            <w:vAlign w:val="center"/>
          </w:tcPr>
          <w:p>
            <w:pPr>
              <w:spacing w:line="600" w:lineRule="auto"/>
              <w:jc w:val="center"/>
              <w:rPr>
                <w:sz w:val="24"/>
                <w:szCs w:val="24"/>
              </w:rPr>
            </w:pPr>
            <w:r>
              <w:rPr>
                <w:sz w:val="24"/>
                <w:szCs w:val="24"/>
              </w:rPr>
              <w:t>高纯</w:t>
            </w:r>
          </w:p>
        </w:tc>
      </w:tr>
    </w:tbl>
    <w:p>
      <w:pPr>
        <w:spacing w:line="360" w:lineRule="auto"/>
        <w:jc w:val="left"/>
        <w:rPr>
          <w:rFonts w:hint="eastAsia" w:ascii="宋体" w:hAnsi="宋体" w:eastAsia="宋体" w:cstheme="minorEastAsia"/>
          <w:sz w:val="24"/>
          <w:szCs w:val="24"/>
        </w:rPr>
      </w:pPr>
    </w:p>
    <w:p>
      <w:pPr>
        <w:spacing w:line="360" w:lineRule="auto"/>
        <w:jc w:val="left"/>
        <w:rPr>
          <w:rFonts w:hint="eastAsia" w:ascii="宋体" w:hAnsi="宋体" w:eastAsia="宋体" w:cstheme="minorEastAsia"/>
          <w:sz w:val="24"/>
          <w:szCs w:val="24"/>
        </w:rPr>
      </w:pPr>
      <w:r>
        <w:rPr>
          <w:rFonts w:hint="eastAsia" w:ascii="宋体" w:hAnsi="宋体" w:eastAsia="宋体" w:cstheme="minorEastAsia"/>
          <w:sz w:val="24"/>
          <w:szCs w:val="24"/>
        </w:rPr>
        <w:t>所需货物液态氧、瓶装氧质量标准须符合《中国药典2020版》规定，氧气纯度达到99.5%以上，二氧化碳等气体符合国家标准。</w:t>
      </w:r>
    </w:p>
    <w:tbl>
      <w:tblPr>
        <w:tblStyle w:val="5"/>
        <w:tblpPr w:leftFromText="180" w:rightFromText="180" w:vertAnchor="text" w:horzAnchor="page" w:tblpX="759" w:tblpY="79"/>
        <w:tblOverlap w:val="never"/>
        <w:tblW w:w="501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181"/>
        <w:gridCol w:w="6053"/>
        <w:gridCol w:w="2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9"/>
              <w:ind w:left="692"/>
              <w:jc w:val="center"/>
              <w:rPr>
                <w:rFonts w:hint="default"/>
                <w:b/>
                <w:sz w:val="24"/>
                <w:szCs w:val="24"/>
              </w:rPr>
            </w:pPr>
            <w:r>
              <w:rPr>
                <w:b/>
                <w:sz w:val="24"/>
                <w:szCs w:val="24"/>
              </w:rPr>
              <w:t>执行的检验标准：《中华人民共和国药典》20</w:t>
            </w:r>
            <w:r>
              <w:rPr>
                <w:rFonts w:hint="default"/>
                <w:b/>
                <w:sz w:val="24"/>
                <w:szCs w:val="24"/>
              </w:rPr>
              <w:t>20</w:t>
            </w:r>
            <w:r>
              <w:rPr>
                <w:b/>
                <w:sz w:val="24"/>
                <w:szCs w:val="24"/>
              </w:rPr>
              <w:t>版 二部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037"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8"/>
              <w:ind w:left="12"/>
              <w:jc w:val="both"/>
              <w:rPr>
                <w:rFonts w:hint="default"/>
                <w:sz w:val="24"/>
                <w:szCs w:val="24"/>
              </w:rPr>
            </w:pPr>
            <w:r>
              <w:rPr>
                <w:sz w:val="24"/>
                <w:szCs w:val="24"/>
              </w:rPr>
              <w:t>项目</w:t>
            </w:r>
          </w:p>
        </w:tc>
        <w:tc>
          <w:tcPr>
            <w:tcW w:w="2878"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8"/>
              <w:ind w:left="1590"/>
              <w:jc w:val="both"/>
              <w:rPr>
                <w:rFonts w:hint="default"/>
                <w:sz w:val="24"/>
                <w:szCs w:val="24"/>
              </w:rPr>
            </w:pPr>
            <w:r>
              <w:rPr>
                <w:sz w:val="24"/>
                <w:szCs w:val="24"/>
              </w:rPr>
              <w:t>药典标准（20</w:t>
            </w:r>
            <w:r>
              <w:rPr>
                <w:rFonts w:hint="default"/>
                <w:sz w:val="24"/>
                <w:szCs w:val="24"/>
              </w:rPr>
              <w:t>20</w:t>
            </w:r>
            <w:r>
              <w:rPr>
                <w:sz w:val="24"/>
                <w:szCs w:val="24"/>
              </w:rPr>
              <w:t>版）</w:t>
            </w:r>
          </w:p>
        </w:tc>
        <w:tc>
          <w:tcPr>
            <w:tcW w:w="1084"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8"/>
              <w:ind w:left="13"/>
              <w:jc w:val="both"/>
              <w:rPr>
                <w:rFonts w:hint="default"/>
                <w:sz w:val="24"/>
                <w:szCs w:val="24"/>
              </w:rPr>
            </w:pPr>
            <w:r>
              <w:rPr>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1037"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7"/>
              <w:ind w:left="12"/>
              <w:jc w:val="both"/>
              <w:rPr>
                <w:rFonts w:hint="default"/>
                <w:sz w:val="24"/>
                <w:szCs w:val="24"/>
              </w:rPr>
            </w:pPr>
            <w:r>
              <w:rPr>
                <w:sz w:val="24"/>
                <w:szCs w:val="24"/>
              </w:rPr>
              <w:t>性状</w:t>
            </w:r>
          </w:p>
        </w:tc>
        <w:tc>
          <w:tcPr>
            <w:tcW w:w="2878"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7"/>
              <w:ind w:right="982"/>
              <w:jc w:val="center"/>
              <w:rPr>
                <w:rFonts w:hint="default"/>
                <w:sz w:val="24"/>
                <w:szCs w:val="24"/>
              </w:rPr>
            </w:pPr>
            <w:r>
              <w:rPr>
                <w:sz w:val="24"/>
                <w:szCs w:val="24"/>
              </w:rPr>
              <w:t>为无色气体，无臭无味，有强助燃力</w:t>
            </w:r>
          </w:p>
        </w:tc>
        <w:tc>
          <w:tcPr>
            <w:tcW w:w="1084"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7"/>
              <w:ind w:left="-155"/>
              <w:jc w:val="both"/>
              <w:rPr>
                <w:rFonts w:hint="default"/>
                <w:sz w:val="24"/>
                <w:szCs w:val="24"/>
              </w:rPr>
            </w:pPr>
            <w:r>
              <w:rPr>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037"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8"/>
              <w:ind w:left="12"/>
              <w:jc w:val="both"/>
              <w:rPr>
                <w:rFonts w:hint="default"/>
                <w:sz w:val="24"/>
                <w:szCs w:val="24"/>
              </w:rPr>
            </w:pPr>
            <w:r>
              <w:rPr>
                <w:sz w:val="24"/>
                <w:szCs w:val="24"/>
              </w:rPr>
              <w:t>鉴别</w:t>
            </w:r>
          </w:p>
        </w:tc>
        <w:tc>
          <w:tcPr>
            <w:tcW w:w="2878"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8"/>
              <w:ind w:left="925" w:firstLine="480" w:firstLineChars="200"/>
              <w:jc w:val="both"/>
              <w:rPr>
                <w:rFonts w:hint="default"/>
                <w:sz w:val="24"/>
                <w:szCs w:val="24"/>
              </w:rPr>
            </w:pPr>
            <w:r>
              <w:rPr>
                <w:sz w:val="24"/>
                <w:szCs w:val="24"/>
              </w:rPr>
              <w:t>能使炽红的木条突然发火燃烧</w:t>
            </w:r>
          </w:p>
        </w:tc>
        <w:tc>
          <w:tcPr>
            <w:tcW w:w="1084"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jc w:val="both"/>
              <w:rPr>
                <w:rFonts w:hint="default"/>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1037"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7"/>
              <w:ind w:left="7"/>
              <w:jc w:val="both"/>
              <w:rPr>
                <w:rFonts w:hint="default"/>
                <w:sz w:val="24"/>
                <w:szCs w:val="24"/>
              </w:rPr>
            </w:pPr>
            <w:r>
              <w:rPr>
                <w:sz w:val="24"/>
                <w:szCs w:val="24"/>
              </w:rPr>
              <w:t>酸碱度</w:t>
            </w:r>
          </w:p>
        </w:tc>
        <w:tc>
          <w:tcPr>
            <w:tcW w:w="2878"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7"/>
              <w:ind w:left="1904"/>
              <w:jc w:val="both"/>
              <w:rPr>
                <w:rFonts w:hint="default"/>
                <w:sz w:val="24"/>
                <w:szCs w:val="24"/>
              </w:rPr>
            </w:pPr>
            <w:r>
              <w:rPr>
                <w:sz w:val="24"/>
                <w:szCs w:val="24"/>
              </w:rPr>
              <w:t>应符合药典规定</w:t>
            </w:r>
          </w:p>
        </w:tc>
        <w:tc>
          <w:tcPr>
            <w:tcW w:w="1084"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jc w:val="both"/>
              <w:rPr>
                <w:rFonts w:hint="default"/>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1037"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9"/>
              <w:ind w:left="10"/>
              <w:jc w:val="both"/>
              <w:rPr>
                <w:rFonts w:hint="default"/>
                <w:sz w:val="24"/>
                <w:szCs w:val="24"/>
              </w:rPr>
            </w:pPr>
            <w:r>
              <w:rPr>
                <w:sz w:val="24"/>
                <w:szCs w:val="24"/>
              </w:rPr>
              <w:t>一氧化碳</w:t>
            </w:r>
          </w:p>
        </w:tc>
        <w:tc>
          <w:tcPr>
            <w:tcW w:w="2878"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9"/>
              <w:ind w:left="1904"/>
              <w:jc w:val="both"/>
              <w:rPr>
                <w:rFonts w:hint="default"/>
                <w:sz w:val="24"/>
                <w:szCs w:val="24"/>
              </w:rPr>
            </w:pPr>
            <w:r>
              <w:rPr>
                <w:sz w:val="24"/>
                <w:szCs w:val="24"/>
              </w:rPr>
              <w:t>应符合药典规定</w:t>
            </w:r>
          </w:p>
        </w:tc>
        <w:tc>
          <w:tcPr>
            <w:tcW w:w="1084"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jc w:val="both"/>
              <w:rPr>
                <w:rFonts w:hint="default"/>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1037"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8"/>
              <w:ind w:left="10"/>
              <w:jc w:val="both"/>
              <w:rPr>
                <w:rFonts w:hint="default"/>
                <w:sz w:val="24"/>
                <w:szCs w:val="24"/>
              </w:rPr>
            </w:pPr>
            <w:r>
              <w:rPr>
                <w:sz w:val="24"/>
                <w:szCs w:val="24"/>
              </w:rPr>
              <w:t>二氧化碳</w:t>
            </w:r>
          </w:p>
        </w:tc>
        <w:tc>
          <w:tcPr>
            <w:tcW w:w="2878"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8"/>
              <w:ind w:left="1904"/>
              <w:jc w:val="both"/>
              <w:rPr>
                <w:rFonts w:hint="default"/>
                <w:sz w:val="24"/>
                <w:szCs w:val="24"/>
              </w:rPr>
            </w:pPr>
            <w:r>
              <w:rPr>
                <w:sz w:val="24"/>
                <w:szCs w:val="24"/>
              </w:rPr>
              <w:t>应符合药典规定</w:t>
            </w:r>
          </w:p>
        </w:tc>
        <w:tc>
          <w:tcPr>
            <w:tcW w:w="1084"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jc w:val="both"/>
              <w:rPr>
                <w:rFonts w:hint="default"/>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037"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7"/>
              <w:ind w:left="12"/>
              <w:jc w:val="both"/>
              <w:rPr>
                <w:rFonts w:hint="default"/>
                <w:sz w:val="24"/>
                <w:szCs w:val="24"/>
              </w:rPr>
            </w:pPr>
            <w:r>
              <w:rPr>
                <w:sz w:val="24"/>
                <w:szCs w:val="24"/>
              </w:rPr>
              <w:t>其他气态氧化物质</w:t>
            </w:r>
          </w:p>
        </w:tc>
        <w:tc>
          <w:tcPr>
            <w:tcW w:w="2878"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7"/>
              <w:ind w:left="1904"/>
              <w:jc w:val="both"/>
              <w:rPr>
                <w:rFonts w:hint="default"/>
                <w:sz w:val="24"/>
                <w:szCs w:val="24"/>
              </w:rPr>
            </w:pPr>
            <w:r>
              <w:rPr>
                <w:sz w:val="24"/>
                <w:szCs w:val="24"/>
              </w:rPr>
              <w:t>应符合药典规定</w:t>
            </w:r>
          </w:p>
        </w:tc>
        <w:tc>
          <w:tcPr>
            <w:tcW w:w="1084"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jc w:val="both"/>
              <w:rPr>
                <w:rFonts w:hint="default"/>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1037"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8"/>
              <w:ind w:left="12"/>
              <w:jc w:val="both"/>
              <w:rPr>
                <w:rFonts w:hint="default"/>
                <w:sz w:val="24"/>
                <w:szCs w:val="24"/>
              </w:rPr>
            </w:pPr>
            <w:r>
              <w:rPr>
                <w:sz w:val="24"/>
                <w:szCs w:val="24"/>
              </w:rPr>
              <w:t>含量</w:t>
            </w:r>
          </w:p>
        </w:tc>
        <w:tc>
          <w:tcPr>
            <w:tcW w:w="2878"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8"/>
              <w:ind w:right="980"/>
              <w:jc w:val="center"/>
              <w:rPr>
                <w:rFonts w:hint="default"/>
                <w:sz w:val="24"/>
                <w:szCs w:val="24"/>
              </w:rPr>
            </w:pPr>
            <w:r>
              <w:rPr>
                <w:sz w:val="24"/>
                <w:szCs w:val="24"/>
              </w:rPr>
              <w:t>含氧（O</w:t>
            </w:r>
            <w:r>
              <w:rPr>
                <w:position w:val="-3"/>
                <w:sz w:val="24"/>
                <w:szCs w:val="24"/>
                <w:vertAlign w:val="subscript"/>
              </w:rPr>
              <w:t>2</w:t>
            </w:r>
            <w:r>
              <w:rPr>
                <w:sz w:val="24"/>
                <w:szCs w:val="24"/>
              </w:rPr>
              <w:t>）应不得少于 99.5%</w:t>
            </w:r>
          </w:p>
        </w:tc>
        <w:tc>
          <w:tcPr>
            <w:tcW w:w="1084"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8"/>
              <w:ind w:left="-155"/>
              <w:jc w:val="both"/>
              <w:rPr>
                <w:rFonts w:hint="default"/>
                <w:sz w:val="24"/>
                <w:szCs w:val="24"/>
              </w:rPr>
            </w:pPr>
            <w:r>
              <w:rPr>
                <w:sz w:val="24"/>
                <w:szCs w:val="24"/>
              </w:rPr>
              <w:t>）</w:t>
            </w:r>
          </w:p>
        </w:tc>
      </w:tr>
    </w:tbl>
    <w:p>
      <w:pPr>
        <w:pStyle w:val="4"/>
        <w:rPr>
          <w:rFonts w:ascii="宋体" w:hAnsi="宋体" w:eastAsia="宋体" w:cstheme="minorEastAsia"/>
          <w:szCs w:val="24"/>
        </w:rPr>
      </w:pPr>
    </w:p>
    <w:p>
      <w:pPr>
        <w:rPr>
          <w:sz w:val="28"/>
          <w:szCs w:val="28"/>
        </w:rPr>
      </w:pPr>
    </w:p>
    <w:tbl>
      <w:tblPr>
        <w:tblStyle w:val="5"/>
        <w:tblW w:w="501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181"/>
        <w:gridCol w:w="6048"/>
        <w:gridCol w:w="2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9"/>
              <w:ind w:left="692"/>
              <w:jc w:val="center"/>
              <w:rPr>
                <w:rFonts w:hint="default"/>
                <w:b/>
                <w:sz w:val="24"/>
                <w:szCs w:val="24"/>
              </w:rPr>
            </w:pPr>
            <w:r>
              <w:rPr>
                <w:b/>
                <w:sz w:val="24"/>
                <w:szCs w:val="24"/>
              </w:rPr>
              <w:t>执行国家相关标准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1038" w:type="pct"/>
            <w:tcBorders>
              <w:top w:val="single" w:color="000000" w:sz="4" w:space="0"/>
              <w:left w:val="single" w:color="000000" w:sz="4" w:space="0"/>
              <w:bottom w:val="single" w:color="000000" w:sz="4" w:space="0"/>
              <w:right w:val="single" w:color="000000" w:sz="4" w:space="0"/>
            </w:tcBorders>
            <w:shd w:val="clear" w:color="auto" w:fill="auto"/>
            <w:vAlign w:val="center"/>
          </w:tcPr>
          <w:p>
            <w:pPr>
              <w:autoSpaceDE w:val="0"/>
              <w:autoSpaceDN w:val="0"/>
              <w:adjustRightInd w:val="0"/>
              <w:snapToGrid w:val="0"/>
              <w:spacing w:line="360" w:lineRule="auto"/>
              <w:jc w:val="center"/>
              <w:rPr>
                <w:rFonts w:ascii="宋体" w:hAnsi="宋体"/>
                <w:bCs/>
                <w:kern w:val="0"/>
                <w:sz w:val="24"/>
                <w:szCs w:val="24"/>
              </w:rPr>
            </w:pPr>
            <w:r>
              <w:rPr>
                <w:rFonts w:hint="eastAsia" w:ascii="宋体" w:hAnsi="宋体"/>
                <w:bCs/>
                <w:kern w:val="0"/>
                <w:sz w:val="24"/>
                <w:szCs w:val="24"/>
              </w:rPr>
              <w:t>高纯二氧化碳</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pPr>
              <w:autoSpaceDE w:val="0"/>
              <w:autoSpaceDN w:val="0"/>
              <w:adjustRightInd w:val="0"/>
              <w:snapToGrid w:val="0"/>
              <w:spacing w:line="360" w:lineRule="auto"/>
              <w:jc w:val="center"/>
              <w:rPr>
                <w:rFonts w:ascii="宋体" w:hAnsi="宋体"/>
                <w:bCs/>
                <w:kern w:val="0"/>
                <w:sz w:val="24"/>
                <w:szCs w:val="24"/>
              </w:rPr>
            </w:pPr>
            <w:r>
              <w:rPr>
                <w:rFonts w:hint="eastAsia" w:ascii="宋体" w:hAnsi="宋体"/>
                <w:bCs/>
                <w:kern w:val="0"/>
                <w:sz w:val="24"/>
                <w:szCs w:val="24"/>
              </w:rPr>
              <w:t>9</w:t>
            </w:r>
            <w:r>
              <w:rPr>
                <w:rFonts w:ascii="宋体" w:hAnsi="宋体"/>
                <w:bCs/>
                <w:kern w:val="0"/>
                <w:sz w:val="24"/>
                <w:szCs w:val="24"/>
              </w:rPr>
              <w:t>9.999%,</w:t>
            </w:r>
          </w:p>
        </w:tc>
        <w:tc>
          <w:tcPr>
            <w:tcW w:w="1084" w:type="pct"/>
            <w:tcBorders>
              <w:top w:val="single" w:color="000000" w:sz="4" w:space="0"/>
              <w:left w:val="single" w:color="000000" w:sz="4" w:space="0"/>
              <w:bottom w:val="single" w:color="000000" w:sz="4" w:space="0"/>
              <w:right w:val="single" w:color="000000" w:sz="4" w:space="0"/>
            </w:tcBorders>
            <w:shd w:val="clear" w:color="auto" w:fill="auto"/>
            <w:vAlign w:val="center"/>
          </w:tcPr>
          <w:p>
            <w:pPr>
              <w:autoSpaceDE w:val="0"/>
              <w:autoSpaceDN w:val="0"/>
              <w:adjustRightInd w:val="0"/>
              <w:snapToGrid w:val="0"/>
              <w:spacing w:line="360" w:lineRule="auto"/>
              <w:jc w:val="center"/>
              <w:rPr>
                <w:rFonts w:ascii="宋体" w:hAnsi="宋体"/>
                <w:bCs/>
                <w:kern w:val="0"/>
                <w:sz w:val="24"/>
                <w:szCs w:val="24"/>
              </w:rPr>
            </w:pPr>
            <w:r>
              <w:rPr>
                <w:rFonts w:hint="eastAsia" w:ascii="宋体" w:hAnsi="宋体"/>
                <w:bCs/>
                <w:kern w:val="0"/>
                <w:sz w:val="24"/>
                <w:szCs w:val="24"/>
              </w:rPr>
              <w:t>G</w:t>
            </w:r>
            <w:r>
              <w:rPr>
                <w:rFonts w:ascii="宋体" w:hAnsi="宋体"/>
                <w:bCs/>
                <w:kern w:val="0"/>
                <w:sz w:val="24"/>
                <w:szCs w:val="24"/>
              </w:rPr>
              <w:t>B</w:t>
            </w:r>
            <w:r>
              <w:rPr>
                <w:rFonts w:hint="eastAsia" w:ascii="宋体" w:hAnsi="宋体"/>
                <w:bCs/>
                <w:kern w:val="0"/>
                <w:sz w:val="24"/>
                <w:szCs w:val="24"/>
              </w:rPr>
              <w:t>/</w:t>
            </w:r>
            <w:r>
              <w:rPr>
                <w:rFonts w:ascii="宋体" w:hAnsi="宋体"/>
                <w:bCs/>
                <w:kern w:val="0"/>
                <w:sz w:val="24"/>
                <w:szCs w:val="24"/>
              </w:rPr>
              <w:t>T23938-2009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038"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8"/>
              <w:ind w:left="12"/>
              <w:jc w:val="center"/>
              <w:rPr>
                <w:rFonts w:hint="default"/>
                <w:sz w:val="24"/>
                <w:szCs w:val="24"/>
              </w:rPr>
            </w:pPr>
            <w:r>
              <w:rPr>
                <w:rFonts w:hint="default"/>
                <w:sz w:val="24"/>
                <w:szCs w:val="24"/>
              </w:rPr>
              <w:t>二氧化碳</w:t>
            </w:r>
          </w:p>
        </w:tc>
        <w:tc>
          <w:tcPr>
            <w:tcW w:w="2878"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spacing w:before="148"/>
              <w:ind w:left="925" w:firstLine="1200" w:firstLineChars="500"/>
              <w:rPr>
                <w:rFonts w:hint="default"/>
                <w:sz w:val="24"/>
                <w:szCs w:val="24"/>
              </w:rPr>
            </w:pPr>
            <w:r>
              <w:rPr>
                <w:bCs/>
                <w:kern w:val="0"/>
                <w:sz w:val="24"/>
                <w:szCs w:val="24"/>
              </w:rPr>
              <w:t>99.99%,（食品级）</w:t>
            </w:r>
          </w:p>
        </w:tc>
        <w:tc>
          <w:tcPr>
            <w:tcW w:w="1084" w:type="pct"/>
            <w:tcBorders>
              <w:top w:val="single" w:color="000000" w:sz="4" w:space="0"/>
              <w:left w:val="single" w:color="000000" w:sz="4" w:space="0"/>
              <w:bottom w:val="single" w:color="000000" w:sz="4" w:space="0"/>
              <w:right w:val="single" w:color="000000" w:sz="4" w:space="0"/>
            </w:tcBorders>
            <w:shd w:val="clear" w:color="auto" w:fill="auto"/>
          </w:tcPr>
          <w:p>
            <w:pPr>
              <w:pStyle w:val="8"/>
              <w:widowControl/>
              <w:jc w:val="center"/>
              <w:rPr>
                <w:rFonts w:hint="default"/>
                <w:sz w:val="24"/>
                <w:szCs w:val="24"/>
              </w:rPr>
            </w:pPr>
            <w:r>
              <w:rPr>
                <w:sz w:val="24"/>
                <w:szCs w:val="24"/>
              </w:rPr>
              <w:t>GB/10621-2006</w:t>
            </w:r>
          </w:p>
        </w:tc>
      </w:tr>
    </w:tbl>
    <w:p>
      <w:pPr>
        <w:pStyle w:val="2"/>
        <w:numPr>
          <w:ilvl w:val="0"/>
          <w:numId w:val="0"/>
        </w:numPr>
        <w:spacing w:line="240" w:lineRule="auto"/>
        <w:ind w:right="0" w:rightChars="0"/>
        <w:rPr>
          <w:rFonts w:hint="eastAsia" w:ascii="宋体" w:hAnsi="宋体" w:eastAsia="宋体" w:cs="宋体"/>
          <w:kern w:val="2"/>
          <w:sz w:val="24"/>
          <w:szCs w:val="24"/>
        </w:rPr>
      </w:pPr>
    </w:p>
    <w:p>
      <w:pPr>
        <w:pStyle w:val="2"/>
        <w:numPr>
          <w:ilvl w:val="0"/>
          <w:numId w:val="0"/>
        </w:numPr>
        <w:spacing w:line="240" w:lineRule="auto"/>
        <w:ind w:right="0" w:rightChars="0"/>
        <w:rPr>
          <w:rFonts w:hint="eastAsia" w:ascii="宋体" w:hAnsi="宋体" w:eastAsia="宋体" w:cs="宋体"/>
          <w:kern w:val="2"/>
          <w:sz w:val="24"/>
          <w:szCs w:val="24"/>
        </w:rPr>
      </w:pPr>
    </w:p>
    <w:p>
      <w:pPr>
        <w:numPr>
          <w:ilvl w:val="0"/>
          <w:numId w:val="0"/>
        </w:numPr>
        <w:snapToGrid w:val="0"/>
        <w:spacing w:line="440" w:lineRule="exact"/>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2、液氧其他技术要求：</w:t>
      </w:r>
    </w:p>
    <w:p>
      <w:pPr>
        <w:numPr>
          <w:ilvl w:val="0"/>
          <w:numId w:val="0"/>
        </w:numPr>
        <w:snapToGrid w:val="0"/>
        <w:spacing w:line="44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1）投标人须自有专业医用液氧槽车不少于2辆，不得借用其他运输单位的资质，合同签订后须将为本项目配备的医用液氧槽车相应资质证书及驾驶人员名单交招标人处备案，否则招标人有权解除合同。</w:t>
      </w:r>
    </w:p>
    <w:p>
      <w:pPr>
        <w:numPr>
          <w:ilvl w:val="0"/>
          <w:numId w:val="0"/>
        </w:numPr>
        <w:snapToGrid w:val="0"/>
        <w:spacing w:line="44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2）投标人提供的供气设备必须符合GB50751-2012《医用气体工程技术规范》要求。</w:t>
      </w:r>
    </w:p>
    <w:p>
      <w:pPr>
        <w:numPr>
          <w:ilvl w:val="0"/>
          <w:numId w:val="0"/>
        </w:numPr>
        <w:snapToGrid w:val="0"/>
        <w:spacing w:line="44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3）所投医用氧必须符合《中国药典》二部关于“氧”的要求</w:t>
      </w:r>
    </w:p>
    <w:p>
      <w:pPr>
        <w:numPr>
          <w:ilvl w:val="0"/>
          <w:numId w:val="0"/>
        </w:numPr>
        <w:snapToGrid w:val="0"/>
        <w:spacing w:line="44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4）投标人须在招标人处安装远程液位监控系统，实时监测招标人医用液氧液位，并配合招标人安全管理医用液氧库存。</w:t>
      </w:r>
    </w:p>
    <w:p>
      <w:pPr>
        <w:numPr>
          <w:ilvl w:val="0"/>
          <w:numId w:val="0"/>
        </w:numPr>
        <w:snapToGrid w:val="0"/>
        <w:spacing w:line="44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5）有突发事件发生时，投标人在接到招标人通知后须在12小时内将液氧运送到位，否则招标人有权解除合同。</w:t>
      </w:r>
    </w:p>
    <w:p>
      <w:pPr>
        <w:numPr>
          <w:ilvl w:val="0"/>
          <w:numId w:val="0"/>
        </w:numPr>
        <w:snapToGrid w:val="0"/>
        <w:spacing w:line="44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6）招标人检验或使用中发现产品有质量问题，经核实后，中标人必须无条件退换，所造成的一切损失由中标人承担，招标人保留进一步追究其责任的权利。</w:t>
      </w:r>
    </w:p>
    <w:p>
      <w:pPr>
        <w:numPr>
          <w:ilvl w:val="0"/>
          <w:numId w:val="0"/>
        </w:numPr>
        <w:snapToGrid w:val="0"/>
        <w:spacing w:line="44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7）凡因中标人所产生或经销的产品质量问题引起的医疗事故、医疗纠纷等一切后果，将由中标人承担所有责任。</w:t>
      </w:r>
    </w:p>
    <w:p>
      <w:pPr>
        <w:numPr>
          <w:ilvl w:val="0"/>
          <w:numId w:val="0"/>
        </w:numPr>
        <w:snapToGrid w:val="0"/>
        <w:spacing w:line="44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8）合同执行期内，中标人必须保证招标人的正常供应需求，如因中标人原因造成合同无法执行（不可抗力因素除外），招标人有权追究中标人的相关违约责任。</w:t>
      </w:r>
    </w:p>
    <w:p>
      <w:pPr>
        <w:pStyle w:val="2"/>
        <w:spacing w:line="360" w:lineRule="auto"/>
        <w:rPr>
          <w:rFonts w:hint="eastAsia" w:ascii="宋体" w:hAnsi="宋体" w:eastAsia="宋体" w:cs="宋体"/>
          <w:color w:val="FF0000"/>
          <w:kern w:val="2"/>
          <w:sz w:val="24"/>
          <w:szCs w:val="24"/>
          <w:highlight w:val="yellow"/>
        </w:rPr>
      </w:pPr>
    </w:p>
    <w:p>
      <w:pPr>
        <w:numPr>
          <w:ilvl w:val="0"/>
          <w:numId w:val="0"/>
        </w:numPr>
        <w:snapToGrid w:val="0"/>
        <w:spacing w:line="440" w:lineRule="exact"/>
        <w:ind w:leftChars="0" w:right="0" w:rightChars="0"/>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3、商务要求</w:t>
      </w:r>
    </w:p>
    <w:p>
      <w:pPr>
        <w:numPr>
          <w:ilvl w:val="0"/>
          <w:numId w:val="0"/>
        </w:numPr>
        <w:snapToGrid w:val="0"/>
        <w:spacing w:line="440" w:lineRule="exact"/>
        <w:ind w:leftChars="0" w:right="0" w:rightChars="0"/>
        <w:rPr>
          <w:rFonts w:hint="eastAsia" w:ascii="宋体" w:hAnsi="宋体" w:eastAsia="宋体" w:cs="宋体"/>
          <w:b/>
          <w:bCs/>
          <w:color w:val="000000"/>
          <w:sz w:val="24"/>
          <w:szCs w:val="24"/>
          <w:lang w:val="en-US" w:eastAsia="zh-CN"/>
        </w:rPr>
      </w:pPr>
      <w:r>
        <w:rPr>
          <w:rFonts w:hint="eastAsia" w:ascii="宋体" w:hAnsi="宋体" w:eastAsia="宋体" w:cs="宋体"/>
          <w:b w:val="0"/>
          <w:bCs w:val="0"/>
          <w:color w:val="000000"/>
          <w:sz w:val="24"/>
          <w:szCs w:val="24"/>
          <w:lang w:val="en-US" w:eastAsia="zh-CN"/>
        </w:rPr>
        <w:t>1）包装</w:t>
      </w:r>
    </w:p>
    <w:p>
      <w:pPr>
        <w:numPr>
          <w:ilvl w:val="0"/>
          <w:numId w:val="0"/>
        </w:numPr>
        <w:snapToGrid w:val="0"/>
        <w:spacing w:line="440" w:lineRule="exact"/>
        <w:rPr>
          <w:rFonts w:hint="eastAsia" w:ascii="宋体" w:hAnsi="宋体" w:eastAsia="宋体" w:cs="宋体"/>
          <w:color w:val="000000"/>
          <w:sz w:val="24"/>
          <w:szCs w:val="24"/>
        </w:rPr>
      </w:pPr>
      <w:r>
        <w:rPr>
          <w:rFonts w:hint="eastAsia" w:ascii="宋体" w:hAnsi="宋体" w:eastAsia="宋体" w:cs="宋体"/>
          <w:color w:val="000000"/>
          <w:sz w:val="24"/>
          <w:szCs w:val="24"/>
        </w:rPr>
        <w:t>所有货物</w:t>
      </w:r>
      <w:r>
        <w:rPr>
          <w:rFonts w:hint="eastAsia" w:ascii="宋体" w:hAnsi="宋体" w:eastAsia="宋体" w:cs="宋体"/>
          <w:sz w:val="24"/>
          <w:szCs w:val="24"/>
        </w:rPr>
        <w:t>（包括零部件）</w:t>
      </w:r>
      <w:r>
        <w:rPr>
          <w:rFonts w:hint="eastAsia" w:ascii="宋体" w:hAnsi="宋体" w:eastAsia="宋体" w:cs="宋体"/>
          <w:color w:val="000000"/>
          <w:sz w:val="24"/>
          <w:szCs w:val="24"/>
        </w:rPr>
        <w:t>须为全新的、未使用过的原装正品。</w:t>
      </w:r>
    </w:p>
    <w:p>
      <w:pPr>
        <w:numPr>
          <w:ilvl w:val="0"/>
          <w:numId w:val="0"/>
        </w:numPr>
        <w:snapToGrid w:val="0"/>
        <w:spacing w:line="440" w:lineRule="exact"/>
        <w:ind w:right="0" w:rightChars="0"/>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2）标准</w:t>
      </w:r>
    </w:p>
    <w:p>
      <w:pPr>
        <w:numPr>
          <w:ilvl w:val="0"/>
          <w:numId w:val="0"/>
        </w:numPr>
        <w:snapToGrid w:val="0"/>
        <w:spacing w:line="440" w:lineRule="exact"/>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中标人提供的</w:t>
      </w:r>
      <w:r>
        <w:rPr>
          <w:rFonts w:hint="eastAsia" w:ascii="宋体" w:hAnsi="宋体" w:eastAsia="宋体" w:cs="宋体"/>
          <w:color w:val="000000"/>
          <w:sz w:val="24"/>
          <w:szCs w:val="24"/>
        </w:rPr>
        <w:t>货物</w:t>
      </w:r>
      <w:r>
        <w:rPr>
          <w:rFonts w:hint="eastAsia" w:ascii="宋体" w:hAnsi="宋体" w:eastAsia="宋体" w:cs="宋体"/>
          <w:color w:val="000000"/>
          <w:sz w:val="24"/>
          <w:szCs w:val="24"/>
          <w:lang w:val="en-US" w:eastAsia="zh-CN"/>
        </w:rPr>
        <w:t>及设备</w:t>
      </w:r>
      <w:r>
        <w:rPr>
          <w:rFonts w:hint="eastAsia" w:ascii="宋体" w:hAnsi="宋体" w:eastAsia="宋体" w:cs="宋体"/>
          <w:color w:val="000000"/>
          <w:sz w:val="24"/>
          <w:szCs w:val="24"/>
        </w:rPr>
        <w:t>必须符合《中华人民共和国药典》</w:t>
      </w:r>
      <w:r>
        <w:rPr>
          <w:rFonts w:hint="eastAsia" w:ascii="宋体" w:hAnsi="宋体" w:eastAsia="宋体" w:cs="宋体"/>
          <w:color w:val="000000"/>
          <w:sz w:val="24"/>
          <w:szCs w:val="24"/>
          <w:lang w:val="en-US" w:eastAsia="zh-CN"/>
        </w:rPr>
        <w:t>和GB50751-2012《医用气体工程技术规范》等相关</w:t>
      </w:r>
      <w:r>
        <w:rPr>
          <w:rFonts w:hint="eastAsia" w:ascii="宋体" w:hAnsi="宋体" w:eastAsia="宋体" w:cs="宋体"/>
          <w:color w:val="000000"/>
          <w:sz w:val="24"/>
          <w:szCs w:val="24"/>
        </w:rPr>
        <w:t>标准要求。</w:t>
      </w:r>
    </w:p>
    <w:p>
      <w:pPr>
        <w:spacing w:line="420" w:lineRule="exac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技术支持</w:t>
      </w:r>
    </w:p>
    <w:p>
      <w:pPr>
        <w:spacing w:line="420" w:lineRule="exact"/>
        <w:rPr>
          <w:rFonts w:hint="eastAsia" w:ascii="宋体" w:hAnsi="宋体" w:eastAsia="宋体" w:cs="宋体"/>
          <w:sz w:val="24"/>
          <w:szCs w:val="24"/>
        </w:rPr>
      </w:pPr>
      <w:r>
        <w:rPr>
          <w:rFonts w:hint="eastAsia" w:ascii="宋体" w:hAnsi="宋体" w:eastAsia="宋体" w:cs="宋体"/>
          <w:sz w:val="24"/>
          <w:szCs w:val="24"/>
          <w:lang w:val="en-US" w:eastAsia="zh-CN"/>
        </w:rPr>
        <w:t xml:space="preserve">a </w:t>
      </w:r>
      <w:r>
        <w:rPr>
          <w:rFonts w:hint="eastAsia" w:ascii="宋体" w:hAnsi="宋体" w:eastAsia="宋体" w:cs="宋体"/>
          <w:sz w:val="24"/>
          <w:szCs w:val="24"/>
        </w:rPr>
        <w:t>中标人应向招标人提供全方位及时而有效的技术支持和服务。</w:t>
      </w:r>
    </w:p>
    <w:p>
      <w:pPr>
        <w:spacing w:line="420" w:lineRule="exact"/>
        <w:rPr>
          <w:rFonts w:hint="eastAsia" w:ascii="宋体" w:hAnsi="宋体" w:eastAsia="宋体" w:cs="宋体"/>
          <w:sz w:val="24"/>
          <w:szCs w:val="24"/>
        </w:rPr>
      </w:pPr>
      <w:r>
        <w:rPr>
          <w:rFonts w:hint="eastAsia" w:ascii="宋体" w:hAnsi="宋体" w:eastAsia="宋体" w:cs="宋体"/>
          <w:sz w:val="24"/>
          <w:szCs w:val="24"/>
          <w:lang w:val="en-US" w:eastAsia="zh-CN"/>
        </w:rPr>
        <w:t xml:space="preserve">b </w:t>
      </w:r>
      <w:r>
        <w:rPr>
          <w:rFonts w:hint="eastAsia" w:ascii="宋体" w:hAnsi="宋体" w:eastAsia="宋体" w:cs="宋体"/>
          <w:sz w:val="24"/>
          <w:szCs w:val="24"/>
        </w:rPr>
        <w:t>中标人负责本项目供货完毕。</w:t>
      </w:r>
    </w:p>
    <w:p>
      <w:pPr>
        <w:spacing w:line="420" w:lineRule="exact"/>
        <w:rPr>
          <w:rFonts w:hint="eastAsia" w:ascii="宋体" w:hAnsi="宋体" w:eastAsia="宋体" w:cs="宋体"/>
          <w:sz w:val="24"/>
          <w:szCs w:val="24"/>
        </w:rPr>
      </w:pPr>
      <w:r>
        <w:rPr>
          <w:rFonts w:hint="eastAsia" w:ascii="宋体" w:hAnsi="宋体" w:eastAsia="宋体" w:cs="宋体"/>
          <w:sz w:val="24"/>
          <w:szCs w:val="24"/>
          <w:lang w:val="en-US" w:eastAsia="zh-CN"/>
        </w:rPr>
        <w:t xml:space="preserve">c </w:t>
      </w:r>
      <w:r>
        <w:rPr>
          <w:rFonts w:hint="eastAsia" w:ascii="宋体" w:hAnsi="宋体" w:eastAsia="宋体" w:cs="宋体"/>
          <w:sz w:val="24"/>
          <w:szCs w:val="24"/>
        </w:rPr>
        <w:t>中标人在项目实施过程中，进场单位和人员的资质、资格符合国家、省、市有关规定。实施期间中标人所发生的或中标人实施场地内发生的或中标人原因造成的安全事故，均应由中标人负责按有关规定处理善后事宜，并承担给招标人造成的损失。</w:t>
      </w:r>
    </w:p>
    <w:p>
      <w:pPr>
        <w:spacing w:line="500" w:lineRule="exac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质保及售后服务：</w:t>
      </w:r>
    </w:p>
    <w:p>
      <w:pPr>
        <w:spacing w:line="440" w:lineRule="exact"/>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 xml:space="preserve">a </w:t>
      </w:r>
      <w:r>
        <w:rPr>
          <w:rFonts w:hint="eastAsia" w:ascii="宋体" w:hAnsi="宋体" w:eastAsia="宋体" w:cs="宋体"/>
          <w:b w:val="0"/>
          <w:bCs/>
          <w:sz w:val="24"/>
          <w:szCs w:val="24"/>
        </w:rPr>
        <w:t>中标人须对本项目提供至少</w:t>
      </w:r>
      <w:r>
        <w:rPr>
          <w:rFonts w:hint="eastAsia" w:ascii="宋体" w:hAnsi="宋体" w:eastAsia="宋体" w:cs="宋体"/>
          <w:b w:val="0"/>
          <w:bCs/>
          <w:sz w:val="24"/>
          <w:szCs w:val="24"/>
          <w:u w:val="none"/>
        </w:rPr>
        <w:t>1</w:t>
      </w:r>
      <w:r>
        <w:rPr>
          <w:rFonts w:hint="eastAsia" w:ascii="宋体" w:hAnsi="宋体" w:eastAsia="宋体" w:cs="宋体"/>
          <w:b w:val="0"/>
          <w:bCs/>
          <w:sz w:val="24"/>
          <w:szCs w:val="24"/>
        </w:rPr>
        <w:t>年的免费质保服务，自验收合格之日起计算。所</w:t>
      </w:r>
      <w:r>
        <w:rPr>
          <w:rFonts w:hint="eastAsia" w:ascii="宋体" w:hAnsi="宋体" w:eastAsia="宋体" w:cs="宋体"/>
          <w:b w:val="0"/>
          <w:bCs/>
          <w:color w:val="000000"/>
          <w:sz w:val="24"/>
          <w:szCs w:val="24"/>
        </w:rPr>
        <w:t>有质</w:t>
      </w:r>
      <w:r>
        <w:rPr>
          <w:rFonts w:hint="eastAsia" w:ascii="宋体" w:hAnsi="宋体" w:eastAsia="宋体" w:cs="宋体"/>
          <w:b w:val="0"/>
          <w:bCs/>
          <w:sz w:val="24"/>
          <w:szCs w:val="24"/>
        </w:rPr>
        <w:t>保费用均已包含在总投标价中。</w:t>
      </w:r>
    </w:p>
    <w:p>
      <w:pPr>
        <w:spacing w:line="440" w:lineRule="exact"/>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 xml:space="preserve">b </w:t>
      </w:r>
      <w:r>
        <w:rPr>
          <w:rFonts w:hint="eastAsia" w:ascii="宋体" w:hAnsi="宋体" w:eastAsia="宋体" w:cs="宋体"/>
          <w:b w:val="0"/>
          <w:bCs/>
          <w:sz w:val="24"/>
          <w:szCs w:val="24"/>
        </w:rPr>
        <w:t>中标人须设有维修服务电话，负责解答用户在货物使用中遇到的问题，及时提出解决问题的建议和操作方法。</w:t>
      </w:r>
    </w:p>
    <w:p>
      <w:pPr>
        <w:spacing w:line="440" w:lineRule="exact"/>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 xml:space="preserve">c </w:t>
      </w:r>
      <w:r>
        <w:rPr>
          <w:rFonts w:hint="eastAsia" w:ascii="宋体" w:hAnsi="宋体" w:eastAsia="宋体" w:cs="宋体"/>
          <w:b w:val="0"/>
          <w:bCs/>
          <w:sz w:val="24"/>
          <w:szCs w:val="24"/>
        </w:rPr>
        <w:t>售后服务响应时间：如货物出现质量问题，电话响应无法解决，中标人必须在接报修电话</w:t>
      </w:r>
      <w:r>
        <w:rPr>
          <w:rFonts w:hint="eastAsia" w:ascii="宋体" w:hAnsi="宋体" w:eastAsia="宋体" w:cs="宋体"/>
          <w:b w:val="0"/>
          <w:bCs/>
          <w:sz w:val="24"/>
          <w:szCs w:val="24"/>
          <w:u w:val="none"/>
          <w:lang w:val="en-US" w:eastAsia="zh-CN"/>
        </w:rPr>
        <w:t>6</w:t>
      </w:r>
      <w:r>
        <w:rPr>
          <w:rFonts w:hint="eastAsia" w:ascii="宋体" w:hAnsi="宋体" w:eastAsia="宋体" w:cs="宋体"/>
          <w:b w:val="0"/>
          <w:bCs/>
          <w:sz w:val="24"/>
          <w:szCs w:val="24"/>
          <w:u w:val="none"/>
        </w:rPr>
        <w:t>小时</w:t>
      </w:r>
      <w:r>
        <w:rPr>
          <w:rFonts w:hint="eastAsia" w:ascii="宋体" w:hAnsi="宋体" w:eastAsia="宋体" w:cs="宋体"/>
          <w:b w:val="0"/>
          <w:bCs/>
          <w:sz w:val="24"/>
          <w:szCs w:val="24"/>
        </w:rPr>
        <w:t>内到达现场并解决问题。</w:t>
      </w:r>
    </w:p>
    <w:p>
      <w:pPr>
        <w:spacing w:line="440" w:lineRule="exact"/>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d 中标人需根据采购人需求，提供氧站操作、应急管控等方面的培训和协助采购人进行消防、应急演练。</w:t>
      </w:r>
    </w:p>
    <w:p>
      <w:pPr>
        <w:numPr>
          <w:ilvl w:val="0"/>
          <w:numId w:val="0"/>
        </w:numPr>
        <w:snapToGrid w:val="0"/>
        <w:ind w:right="0" w:rightChars="0"/>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5)</w:t>
      </w:r>
      <w:r>
        <w:rPr>
          <w:rFonts w:hint="eastAsia" w:ascii="宋体" w:hAnsi="宋体" w:eastAsia="宋体" w:cs="宋体"/>
          <w:b w:val="0"/>
          <w:bCs/>
          <w:sz w:val="24"/>
          <w:szCs w:val="24"/>
        </w:rPr>
        <w:t>交货时间：</w:t>
      </w:r>
    </w:p>
    <w:p>
      <w:pPr>
        <w:numPr>
          <w:ilvl w:val="0"/>
          <w:numId w:val="0"/>
        </w:numPr>
        <w:snapToGrid w:val="0"/>
        <w:rPr>
          <w:rFonts w:hint="eastAsia" w:ascii="宋体" w:hAnsi="宋体" w:eastAsia="宋体" w:cs="宋体"/>
          <w:b w:val="0"/>
          <w:bCs/>
          <w:sz w:val="24"/>
          <w:szCs w:val="24"/>
        </w:rPr>
      </w:pPr>
      <w:r>
        <w:rPr>
          <w:rFonts w:hint="eastAsia" w:ascii="宋体" w:hAnsi="宋体" w:eastAsia="宋体" w:cs="宋体"/>
          <w:b w:val="0"/>
          <w:bCs/>
          <w:sz w:val="24"/>
          <w:szCs w:val="24"/>
        </w:rPr>
        <w:t>实行分批交货，自接到招标人通知之日起</w:t>
      </w:r>
      <w:r>
        <w:rPr>
          <w:rFonts w:hint="eastAsia" w:ascii="宋体" w:hAnsi="宋体" w:eastAsia="宋体" w:cs="宋体"/>
          <w:b w:val="0"/>
          <w:bCs/>
          <w:sz w:val="24"/>
          <w:szCs w:val="24"/>
          <w:u w:val="none"/>
        </w:rPr>
        <w:t>24小</w:t>
      </w:r>
      <w:r>
        <w:rPr>
          <w:rFonts w:hint="eastAsia" w:ascii="宋体" w:hAnsi="宋体" w:eastAsia="宋体" w:cs="宋体"/>
          <w:b w:val="0"/>
          <w:bCs/>
          <w:sz w:val="24"/>
          <w:szCs w:val="24"/>
        </w:rPr>
        <w:t>时内运送到招标人单位。</w:t>
      </w:r>
    </w:p>
    <w:p>
      <w:pPr>
        <w:numPr>
          <w:ilvl w:val="0"/>
          <w:numId w:val="0"/>
        </w:numPr>
        <w:spacing w:line="440" w:lineRule="exact"/>
        <w:ind w:leftChars="0" w:right="0" w:rightChars="0"/>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6)</w:t>
      </w:r>
      <w:r>
        <w:rPr>
          <w:rFonts w:hint="eastAsia" w:ascii="宋体" w:hAnsi="宋体" w:eastAsia="宋体" w:cs="宋体"/>
          <w:b w:val="0"/>
          <w:bCs/>
          <w:sz w:val="24"/>
          <w:szCs w:val="24"/>
        </w:rPr>
        <w:t>交货地点：</w:t>
      </w:r>
    </w:p>
    <w:p>
      <w:pPr>
        <w:numPr>
          <w:ilvl w:val="0"/>
          <w:numId w:val="0"/>
        </w:numPr>
        <w:spacing w:line="440" w:lineRule="exact"/>
        <w:ind w:leftChars="0"/>
        <w:rPr>
          <w:rFonts w:hint="eastAsia" w:ascii="宋体" w:hAnsi="宋体" w:eastAsia="宋体" w:cs="宋体"/>
          <w:sz w:val="24"/>
          <w:szCs w:val="24"/>
          <w:lang w:val="en-US" w:eastAsia="zh-CN"/>
        </w:rPr>
      </w:pPr>
      <w:r>
        <w:rPr>
          <w:rFonts w:hint="eastAsia" w:ascii="宋体" w:hAnsi="宋体" w:eastAsia="宋体" w:cs="宋体"/>
          <w:b w:val="0"/>
          <w:bCs/>
          <w:sz w:val="24"/>
          <w:szCs w:val="24"/>
          <w:lang w:val="en-US" w:eastAsia="zh-CN"/>
        </w:rPr>
        <w:t>六安世立医院液氧站</w:t>
      </w:r>
    </w:p>
    <w:p>
      <w:pPr>
        <w:spacing w:line="440" w:lineRule="exac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7)</w:t>
      </w:r>
      <w:r>
        <w:rPr>
          <w:rFonts w:hint="eastAsia" w:ascii="宋体" w:hAnsi="宋体" w:eastAsia="宋体" w:cs="宋体"/>
          <w:b w:val="0"/>
          <w:bCs w:val="0"/>
          <w:sz w:val="24"/>
          <w:szCs w:val="24"/>
        </w:rPr>
        <w:t>验收：</w:t>
      </w:r>
    </w:p>
    <w:p>
      <w:pPr>
        <w:spacing w:line="420" w:lineRule="exact"/>
        <w:rPr>
          <w:rFonts w:hint="eastAsia" w:ascii="宋体" w:hAnsi="宋体" w:eastAsia="宋体" w:cs="宋体"/>
          <w:sz w:val="24"/>
          <w:szCs w:val="24"/>
        </w:rPr>
      </w:pPr>
      <w:r>
        <w:rPr>
          <w:rFonts w:hint="eastAsia" w:ascii="宋体" w:hAnsi="宋体" w:eastAsia="宋体" w:cs="宋体"/>
          <w:sz w:val="24"/>
          <w:szCs w:val="24"/>
          <w:lang w:val="en-US" w:eastAsia="zh-CN"/>
        </w:rPr>
        <w:t xml:space="preserve">a </w:t>
      </w:r>
      <w:r>
        <w:rPr>
          <w:rFonts w:hint="eastAsia" w:ascii="宋体" w:hAnsi="宋体" w:eastAsia="宋体" w:cs="宋体"/>
          <w:sz w:val="24"/>
          <w:szCs w:val="24"/>
        </w:rPr>
        <w:t>中标人所投产品制造商的检验部门在产品制造过程中和完工后，应按本招标文件所要求的标准和规范，对供货产品进行各项具体的检验和试验，提交相关检验报告，并对检验报告的真实性和准确性负责。</w:t>
      </w:r>
    </w:p>
    <w:p>
      <w:pPr>
        <w:spacing w:line="420" w:lineRule="exact"/>
        <w:rPr>
          <w:rFonts w:hint="eastAsia" w:ascii="宋体" w:hAnsi="宋体" w:eastAsia="宋体" w:cs="宋体"/>
          <w:sz w:val="24"/>
          <w:szCs w:val="24"/>
        </w:rPr>
      </w:pPr>
      <w:r>
        <w:rPr>
          <w:rFonts w:hint="eastAsia" w:ascii="宋体" w:hAnsi="宋体" w:eastAsia="宋体" w:cs="宋体"/>
          <w:sz w:val="24"/>
          <w:szCs w:val="24"/>
          <w:lang w:val="en-US" w:eastAsia="zh-CN"/>
        </w:rPr>
        <w:t xml:space="preserve">b </w:t>
      </w:r>
      <w:r>
        <w:rPr>
          <w:rFonts w:hint="eastAsia" w:ascii="宋体" w:hAnsi="宋体" w:eastAsia="宋体" w:cs="宋体"/>
          <w:sz w:val="24"/>
          <w:szCs w:val="24"/>
        </w:rPr>
        <w:t>招标人有权对本次招标产品在生产过程中及发货前进行随机抽检，但不作为验收的依据，中标人应为招标人进行抽检提供方便。</w:t>
      </w:r>
    </w:p>
    <w:p>
      <w:pPr>
        <w:spacing w:line="440" w:lineRule="exact"/>
        <w:rPr>
          <w:rFonts w:hint="eastAsia" w:ascii="宋体" w:hAnsi="宋体" w:eastAsia="宋体" w:cs="宋体"/>
          <w:sz w:val="24"/>
          <w:szCs w:val="24"/>
        </w:rPr>
      </w:pPr>
      <w:r>
        <w:rPr>
          <w:rFonts w:hint="eastAsia" w:ascii="宋体" w:hAnsi="宋体" w:eastAsia="宋体" w:cs="宋体"/>
          <w:sz w:val="24"/>
          <w:szCs w:val="24"/>
          <w:lang w:val="en-US" w:eastAsia="zh-CN"/>
        </w:rPr>
        <w:t xml:space="preserve">c </w:t>
      </w:r>
      <w:r>
        <w:rPr>
          <w:rFonts w:hint="eastAsia" w:ascii="宋体" w:hAnsi="宋体" w:eastAsia="宋体" w:cs="宋体"/>
          <w:sz w:val="24"/>
          <w:szCs w:val="24"/>
        </w:rPr>
        <w:t>招标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涉及需要由质检或行业主管部门验收的项目，招标人须约请相关部门和专家参加项目验收。</w:t>
      </w:r>
    </w:p>
    <w:p>
      <w:pPr>
        <w:spacing w:line="500" w:lineRule="exact"/>
        <w:rPr>
          <w:rFonts w:hint="eastAsia" w:ascii="宋体" w:hAnsi="宋体" w:eastAsia="宋体" w:cs="宋体"/>
          <w:sz w:val="24"/>
          <w:szCs w:val="24"/>
        </w:rPr>
      </w:pPr>
      <w:r>
        <w:rPr>
          <w:rFonts w:hint="eastAsia" w:ascii="宋体" w:hAnsi="宋体" w:eastAsia="宋体" w:cs="宋体"/>
          <w:sz w:val="24"/>
          <w:szCs w:val="24"/>
          <w:lang w:val="en-US" w:eastAsia="zh-CN"/>
        </w:rPr>
        <w:t xml:space="preserve">d </w:t>
      </w:r>
      <w:r>
        <w:rPr>
          <w:rFonts w:hint="eastAsia" w:ascii="宋体" w:hAnsi="宋体" w:eastAsia="宋体" w:cs="宋体"/>
          <w:sz w:val="24"/>
          <w:szCs w:val="24"/>
        </w:rPr>
        <w:t>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质保书、保修证明、维护手册及技术性指导资料以及根据中国相关法律规定制造、销售报价货物（包括主要部件和材料）所必备的各种证书 (如产品质量检验报告、国家相关检测机构出具的检验报告等）等文件汇集成册交付招标人和应由中标人提供的必要文件。</w:t>
      </w:r>
    </w:p>
    <w:p>
      <w:pPr>
        <w:spacing w:line="500" w:lineRule="exact"/>
        <w:rPr>
          <w:rFonts w:hint="eastAsia" w:ascii="宋体" w:hAnsi="宋体" w:eastAsia="宋体" w:cs="宋体"/>
          <w:sz w:val="24"/>
          <w:szCs w:val="24"/>
        </w:rPr>
      </w:pPr>
      <w:r>
        <w:rPr>
          <w:rFonts w:hint="eastAsia" w:ascii="宋体" w:hAnsi="宋体" w:eastAsia="宋体" w:cs="宋体"/>
          <w:sz w:val="24"/>
          <w:szCs w:val="24"/>
          <w:lang w:val="en-US" w:eastAsia="zh-CN"/>
        </w:rPr>
        <w:t xml:space="preserve">e </w:t>
      </w:r>
      <w:r>
        <w:rPr>
          <w:rFonts w:hint="eastAsia" w:ascii="宋体" w:hAnsi="宋体" w:eastAsia="宋体" w:cs="宋体"/>
          <w:sz w:val="24"/>
          <w:szCs w:val="24"/>
        </w:rPr>
        <w:t>招标人对货物进行全面的验收，对验收中暴露出来的问题，中标人应及时进行整改，最终验收合格后，招标人向中标人签发最终验收证明。</w:t>
      </w:r>
    </w:p>
    <w:p>
      <w:pPr>
        <w:spacing w:line="360" w:lineRule="auto"/>
        <w:jc w:val="left"/>
        <w:rPr>
          <w:rFonts w:ascii="宋体" w:hAnsi="宋体" w:eastAsia="宋体" w:cstheme="minorEastAsia"/>
          <w:b/>
          <w:bCs/>
          <w:sz w:val="24"/>
          <w:szCs w:val="24"/>
        </w:rPr>
      </w:pPr>
      <w:r>
        <w:rPr>
          <w:rFonts w:hint="eastAsia" w:ascii="宋体" w:hAnsi="宋体" w:eastAsia="宋体" w:cs="宋体"/>
          <w:sz w:val="24"/>
          <w:szCs w:val="24"/>
          <w:lang w:val="en-US" w:eastAsia="zh-CN"/>
        </w:rPr>
        <w:t xml:space="preserve">f </w:t>
      </w:r>
      <w:r>
        <w:rPr>
          <w:rFonts w:hint="eastAsia" w:ascii="宋体" w:hAnsi="宋体" w:eastAsia="宋体" w:cs="宋体"/>
          <w:sz w:val="24"/>
          <w:szCs w:val="24"/>
        </w:rPr>
        <w:t>总投标价包含了交付使用前的全部费用，包括货物购置费（包括货物、辅材、备品备件、零配件、易损件及专用工具费等）、装卸费、监测费、保险费、运输费、质保期内的维护费、培训费、验收费、招标代理服务费、其他费用（如包装费、仓储费、保管费、资料费以及完成本项目所需要的其他费用）及所有价内价外税金及合理利润等。</w:t>
      </w:r>
    </w:p>
    <w:p/>
    <w:sectPr>
      <w:pgSz w:w="11906" w:h="16838"/>
      <w:pgMar w:top="720" w:right="720" w:bottom="720" w:left="72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A49D9F"/>
    <w:multiLevelType w:val="singleLevel"/>
    <w:tmpl w:val="34A49D9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hNTA0MGE0Y2ViOTEwNzc1ZDE3YWUzOTA4ODQwYWQifQ=="/>
  </w:docVars>
  <w:rsids>
    <w:rsidRoot w:val="00000000"/>
    <w:rsid w:val="228473BB"/>
    <w:rsid w:val="3C014863"/>
    <w:rsid w:val="4EBE6DE4"/>
    <w:rsid w:val="55011A37"/>
    <w:rsid w:val="594A6D9E"/>
    <w:rsid w:val="5C0A41E1"/>
    <w:rsid w:val="6D794C16"/>
    <w:rsid w:val="7C6C6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等线" w:hAnsi="等线" w:eastAsia="等线" w:cs="等线"/>
      <w:sz w:val="22"/>
      <w:szCs w:val="22"/>
      <w:lang w:val="zh-CN" w:eastAsia="zh-CN" w:bidi="zh-CN"/>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left"/>
    </w:pPr>
    <w:rPr>
      <w:rFonts w:ascii="Arial" w:hAnsi="Arial" w:eastAsia="黑体"/>
      <w:b/>
      <w:kern w:val="0"/>
      <w:sz w:val="32"/>
      <w:szCs w:val="20"/>
    </w:rPr>
  </w:style>
  <w:style w:type="paragraph" w:styleId="3">
    <w:name w:val="Body Text Indent"/>
    <w:basedOn w:val="1"/>
    <w:semiHidden/>
    <w:unhideWhenUsed/>
    <w:qFormat/>
    <w:uiPriority w:val="99"/>
    <w:pPr>
      <w:spacing w:after="120"/>
      <w:ind w:left="420" w:leftChars="200"/>
    </w:pPr>
  </w:style>
  <w:style w:type="paragraph" w:styleId="4">
    <w:name w:val="Body Text First Indent 2"/>
    <w:basedOn w:val="3"/>
    <w:semiHidden/>
    <w:unhideWhenUsed/>
    <w:qFormat/>
    <w:uiPriority w:val="99"/>
    <w:pPr>
      <w:ind w:firstLine="420" w:firstLineChars="200"/>
    </w:p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2119</Words>
  <Characters>2240</Characters>
  <Lines>0</Lines>
  <Paragraphs>0</Paragraphs>
  <TotalTime>14</TotalTime>
  <ScaleCrop>false</ScaleCrop>
  <LinksUpToDate>false</LinksUpToDate>
  <CharactersWithSpaces>2256</CharactersWithSpaces>
  <Application>WPS Office_11.1.0.11805_F1E327BC-269C-435d-A152-05C5408002CA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2022-05-14T01:34:00Z</dcterms:created>
  <dc:creator>WYH</dc:creator>
  <cp:lastModifiedBy>綁架妳家豿</cp:lastModifiedBy>
  <dcterms:modified xsi:type="dcterms:W3CDTF">2022-06-14T01:14:48Z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2052-11.1.0.11805</vt:lpwstr>
  </property>
  <property fmtid="{D5CDD505-2E9C-101B-9397-08002B2CF9AE}" pid="3" name="ICV">
    <vt:lpwstr>E5B429146F794C7FBDFA305E51520B64</vt:lpwstr>
  </property>
</Properties>
</file>